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9072" w14:textId="77777777" w:rsidR="00E55DDA" w:rsidRDefault="00F1618A">
      <w:pPr>
        <w:pStyle w:val="Heading1"/>
        <w:spacing w:before="79" w:line="480" w:lineRule="auto"/>
        <w:ind w:left="3636" w:right="3637"/>
        <w:jc w:val="center"/>
      </w:pPr>
      <w:r>
        <w:t>Chapter 12 TRANSFER POLICY</w:t>
      </w:r>
    </w:p>
    <w:p w14:paraId="52B43F1A" w14:textId="77777777" w:rsidR="00E55DDA" w:rsidRDefault="00F1618A">
      <w:pPr>
        <w:ind w:left="100"/>
        <w:rPr>
          <w:b/>
          <w:sz w:val="24"/>
        </w:rPr>
      </w:pPr>
      <w:r>
        <w:rPr>
          <w:b/>
          <w:sz w:val="24"/>
        </w:rPr>
        <w:t>INTRODUCTION</w:t>
      </w:r>
    </w:p>
    <w:p w14:paraId="67E5B28B" w14:textId="77777777" w:rsidR="00E55DDA" w:rsidRDefault="00E55DDA">
      <w:pPr>
        <w:pStyle w:val="BodyText"/>
        <w:rPr>
          <w:b/>
        </w:rPr>
      </w:pPr>
    </w:p>
    <w:p w14:paraId="71FF6020" w14:textId="77777777" w:rsidR="00E55DDA" w:rsidRDefault="00F1618A">
      <w:pPr>
        <w:pStyle w:val="BodyText"/>
        <w:ind w:left="100" w:right="162"/>
      </w:pPr>
      <w:r>
        <w:t>This chapter explains the PHA’s transfer policy, based on HUD regulations, HUD guidance, and PHA policy decisions.</w:t>
      </w:r>
    </w:p>
    <w:p w14:paraId="6D179F76" w14:textId="77777777" w:rsidR="00E55DDA" w:rsidRDefault="00E55DDA">
      <w:pPr>
        <w:pStyle w:val="BodyText"/>
      </w:pPr>
    </w:p>
    <w:p w14:paraId="3E4D6B2D" w14:textId="77777777" w:rsidR="00E55DDA" w:rsidRDefault="00F1618A">
      <w:pPr>
        <w:pStyle w:val="BodyText"/>
        <w:ind w:left="100"/>
      </w:pPr>
      <w:r>
        <w:t>This chapter describes HUD regulations and PHA policies related to transfers in four parts:</w:t>
      </w:r>
    </w:p>
    <w:p w14:paraId="3B157A2F" w14:textId="77777777" w:rsidR="00E55DDA" w:rsidRDefault="00E55DDA">
      <w:pPr>
        <w:pStyle w:val="BodyText"/>
      </w:pPr>
    </w:p>
    <w:p w14:paraId="41FD38F0" w14:textId="77777777" w:rsidR="00E55DDA" w:rsidRDefault="00F1618A">
      <w:pPr>
        <w:pStyle w:val="BodyText"/>
        <w:ind w:left="100" w:right="337" w:firstLine="719"/>
      </w:pPr>
      <w:r>
        <w:rPr>
          <w:u w:val="single"/>
        </w:rPr>
        <w:t>Part I: Emergency Transfers</w:t>
      </w:r>
      <w:r>
        <w:t>. This part describes types emergency transfers, emergency transfer procedures, and payment of transfer costs.</w:t>
      </w:r>
    </w:p>
    <w:p w14:paraId="2A7E1D31" w14:textId="77777777" w:rsidR="00E55DDA" w:rsidRDefault="00E55DDA">
      <w:pPr>
        <w:pStyle w:val="BodyText"/>
        <w:spacing w:before="1"/>
      </w:pPr>
    </w:p>
    <w:p w14:paraId="433297A6" w14:textId="77777777" w:rsidR="00E55DDA" w:rsidRDefault="00F1618A">
      <w:pPr>
        <w:pStyle w:val="BodyText"/>
        <w:ind w:left="100" w:right="776" w:firstLine="719"/>
      </w:pPr>
      <w:r>
        <w:rPr>
          <w:u w:val="single"/>
        </w:rPr>
        <w:t>Part II: PHA Required Transfers</w:t>
      </w:r>
      <w:r>
        <w:t>. This part describes types of transfers that may be required by the PHA, notice requirements, and payment of transfer costs.</w:t>
      </w:r>
    </w:p>
    <w:p w14:paraId="06F093A6" w14:textId="77777777" w:rsidR="00E55DDA" w:rsidRDefault="00E55DDA">
      <w:pPr>
        <w:pStyle w:val="BodyText"/>
      </w:pPr>
    </w:p>
    <w:p w14:paraId="565D00B3" w14:textId="77777777" w:rsidR="00E55DDA" w:rsidRDefault="00F1618A">
      <w:pPr>
        <w:pStyle w:val="BodyText"/>
        <w:ind w:left="100" w:right="110" w:firstLine="719"/>
      </w:pPr>
      <w:r>
        <w:rPr>
          <w:u w:val="single"/>
        </w:rPr>
        <w:t>Part III: Transfers Requested by Residents</w:t>
      </w:r>
      <w:r>
        <w:t>. This part describes types of transfers that may be requested by residents, eligibility requirements, security deposits, payment of transfer costs, and handling of transfer requests.</w:t>
      </w:r>
    </w:p>
    <w:p w14:paraId="48F0B21C" w14:textId="77777777" w:rsidR="00E55DDA" w:rsidRDefault="00E55DDA">
      <w:pPr>
        <w:pStyle w:val="BodyText"/>
      </w:pPr>
    </w:p>
    <w:p w14:paraId="54EDC944" w14:textId="77777777" w:rsidR="00E55DDA" w:rsidRDefault="00F1618A">
      <w:pPr>
        <w:pStyle w:val="BodyText"/>
        <w:ind w:left="100" w:firstLine="719"/>
      </w:pPr>
      <w:r>
        <w:rPr>
          <w:u w:val="single"/>
        </w:rPr>
        <w:t>PART IV: Transfer Processing</w:t>
      </w:r>
      <w:r>
        <w:t>. This part describes creating a waiting list, prioritizing transfer requests, the unit offer policy, examples of good cause, deconcentration, transferring to another development and reexamination.</w:t>
      </w:r>
    </w:p>
    <w:p w14:paraId="414F2186" w14:textId="77777777" w:rsidR="00E55DDA" w:rsidRDefault="00E55DDA">
      <w:pPr>
        <w:pStyle w:val="BodyText"/>
      </w:pPr>
    </w:p>
    <w:p w14:paraId="13C5FA22" w14:textId="77777777" w:rsidR="00E55DDA" w:rsidRDefault="00F1618A">
      <w:pPr>
        <w:pStyle w:val="BodyText"/>
        <w:ind w:left="100" w:right="56"/>
      </w:pPr>
      <w:r>
        <w:t>The PHA may require the tenant to move from the unit under some circumstances. There are also emergency circumstances under which alternate accommodations for tenant must be provided, that may or may not require a transfer.</w:t>
      </w:r>
    </w:p>
    <w:p w14:paraId="2D19A5C5" w14:textId="77777777" w:rsidR="00E55DDA" w:rsidRDefault="00E55DDA">
      <w:pPr>
        <w:pStyle w:val="BodyText"/>
        <w:spacing w:before="1"/>
      </w:pPr>
    </w:p>
    <w:p w14:paraId="4BF951FB" w14:textId="77777777" w:rsidR="00E55DDA" w:rsidRDefault="00F1618A">
      <w:pPr>
        <w:pStyle w:val="BodyText"/>
        <w:ind w:left="100" w:right="1136"/>
      </w:pPr>
      <w:r>
        <w:t>The tenant may also request a transfer, such as a request for a new unit as a reasonable accommodation.</w:t>
      </w:r>
    </w:p>
    <w:p w14:paraId="36CAD4BD" w14:textId="77777777" w:rsidR="00E55DDA" w:rsidRDefault="00E55DDA">
      <w:pPr>
        <w:pStyle w:val="BodyText"/>
      </w:pPr>
    </w:p>
    <w:p w14:paraId="1E50263D" w14:textId="77777777" w:rsidR="00E55DDA" w:rsidRDefault="00F1618A">
      <w:pPr>
        <w:pStyle w:val="BodyText"/>
        <w:ind w:left="100"/>
      </w:pPr>
      <w:r>
        <w:t>The PHA must have specific policies in place to deal with acceptable transfer requests.</w:t>
      </w:r>
    </w:p>
    <w:p w14:paraId="03D7A1E5" w14:textId="77777777" w:rsidR="00E55DDA" w:rsidRDefault="00E55DDA">
      <w:pPr>
        <w:sectPr w:rsidR="00E55DDA">
          <w:footerReference w:type="default" r:id="rId7"/>
          <w:type w:val="continuous"/>
          <w:pgSz w:w="12240" w:h="15840"/>
          <w:pgMar w:top="1360" w:right="1340" w:bottom="920" w:left="1340" w:header="720" w:footer="739" w:gutter="0"/>
          <w:pgNumType w:start="1"/>
          <w:cols w:space="720"/>
        </w:sectPr>
      </w:pPr>
    </w:p>
    <w:p w14:paraId="026A765B" w14:textId="77777777" w:rsidR="00E55DDA" w:rsidRDefault="00F1618A">
      <w:pPr>
        <w:pStyle w:val="Heading1"/>
        <w:spacing w:before="79"/>
        <w:ind w:left="2769"/>
      </w:pPr>
      <w:r>
        <w:lastRenderedPageBreak/>
        <w:t>PART I: EMERGENCY TRANSFERS</w:t>
      </w:r>
    </w:p>
    <w:p w14:paraId="494B4252" w14:textId="77777777" w:rsidR="00E55DDA" w:rsidRDefault="00E55DDA">
      <w:pPr>
        <w:pStyle w:val="BodyText"/>
        <w:spacing w:before="2"/>
        <w:rPr>
          <w:b/>
          <w:sz w:val="16"/>
        </w:rPr>
      </w:pPr>
    </w:p>
    <w:p w14:paraId="673C25A5" w14:textId="77777777" w:rsidR="00E55DDA" w:rsidRDefault="00F1618A">
      <w:pPr>
        <w:spacing w:before="90"/>
        <w:ind w:left="100"/>
        <w:rPr>
          <w:b/>
          <w:sz w:val="24"/>
        </w:rPr>
      </w:pPr>
      <w:r>
        <w:rPr>
          <w:b/>
          <w:sz w:val="24"/>
        </w:rPr>
        <w:t>12-I.A. OVERVIEW</w:t>
      </w:r>
    </w:p>
    <w:p w14:paraId="097D2454" w14:textId="77777777" w:rsidR="00E55DDA" w:rsidRDefault="00E55DDA">
      <w:pPr>
        <w:pStyle w:val="BodyText"/>
        <w:rPr>
          <w:b/>
        </w:rPr>
      </w:pPr>
    </w:p>
    <w:p w14:paraId="20E767E2" w14:textId="77777777" w:rsidR="00E55DDA" w:rsidRDefault="00F1618A">
      <w:pPr>
        <w:pStyle w:val="BodyText"/>
        <w:ind w:left="100" w:right="289"/>
      </w:pPr>
      <w:r>
        <w:t>HUD categorizes certain situations that require emergency transfers [PH Occ. GB, p. 147]. The emergency transfer differs from a typical transfer in that it requires immediate action by the PHA.</w:t>
      </w:r>
    </w:p>
    <w:p w14:paraId="688919DF" w14:textId="77777777" w:rsidR="00E55DDA" w:rsidRDefault="00E55DDA">
      <w:pPr>
        <w:pStyle w:val="BodyText"/>
      </w:pPr>
    </w:p>
    <w:p w14:paraId="6EB278DE" w14:textId="77777777" w:rsidR="00E55DDA" w:rsidRDefault="00F1618A">
      <w:pPr>
        <w:pStyle w:val="BodyText"/>
        <w:ind w:left="100" w:right="129"/>
      </w:pPr>
      <w:r>
        <w:t>In the case of a genuine emergency, it may be unlikely that the PHA will have the time or resources to immediately transfer a tenant. Due to the immediate need to vacate the unit, placing the tenant on a transfer waiting list would not be appropriate. Under such circumstances, if an appropriate unit is not immediately available, the PHA should find alternate accommodations for the tenant until the emergency passes, or a permanent solution, i.e., return to the unit or transfer to another unit, is possible.</w:t>
      </w:r>
    </w:p>
    <w:p w14:paraId="4FD3DC53" w14:textId="77777777" w:rsidR="00E55DDA" w:rsidRDefault="00E55DDA">
      <w:pPr>
        <w:pStyle w:val="BodyText"/>
        <w:spacing w:before="1"/>
      </w:pPr>
    </w:p>
    <w:p w14:paraId="0DB849C7" w14:textId="77777777" w:rsidR="00E55DDA" w:rsidRDefault="00F1618A">
      <w:pPr>
        <w:pStyle w:val="Heading1"/>
      </w:pPr>
      <w:r>
        <w:t>12-I.B. EMERGENCY TRANSFERS</w:t>
      </w:r>
    </w:p>
    <w:p w14:paraId="71F300CD" w14:textId="77777777" w:rsidR="00E55DDA" w:rsidRDefault="00E55DDA">
      <w:pPr>
        <w:pStyle w:val="BodyText"/>
        <w:rPr>
          <w:b/>
        </w:rPr>
      </w:pPr>
    </w:p>
    <w:p w14:paraId="1272AA71" w14:textId="77777777" w:rsidR="00E55DDA" w:rsidRDefault="00F1618A">
      <w:pPr>
        <w:pStyle w:val="BodyText"/>
        <w:ind w:left="100" w:right="143"/>
      </w:pPr>
      <w:r>
        <w:t>If the dwelling unit is damaged to the extent that conditions are created which are hazardous to life, health, or safety of the occupants, the PHA must offer standard alternative accommodations, if available, where necessary repairs cannot be made within a reasonable time [24 CFR 966.4(h)].</w:t>
      </w:r>
    </w:p>
    <w:p w14:paraId="54016F2A" w14:textId="77777777" w:rsidR="00E55DDA" w:rsidRDefault="00E55DDA">
      <w:pPr>
        <w:pStyle w:val="BodyText"/>
      </w:pPr>
    </w:p>
    <w:p w14:paraId="56128E59" w14:textId="77777777" w:rsidR="00E55DDA" w:rsidRDefault="00F1618A">
      <w:pPr>
        <w:pStyle w:val="Heading1"/>
        <w:ind w:left="820"/>
      </w:pPr>
      <w:r>
        <w:rPr>
          <w:u w:val="thick"/>
        </w:rPr>
        <w:t>MHA Policy</w:t>
      </w:r>
    </w:p>
    <w:p w14:paraId="20EBE259" w14:textId="77777777" w:rsidR="00E55DDA" w:rsidRDefault="00E55DDA">
      <w:pPr>
        <w:pStyle w:val="BodyText"/>
        <w:spacing w:before="2"/>
        <w:rPr>
          <w:b/>
          <w:sz w:val="16"/>
        </w:rPr>
      </w:pPr>
    </w:p>
    <w:p w14:paraId="14572708" w14:textId="77777777" w:rsidR="00E55DDA" w:rsidRDefault="00F1618A">
      <w:pPr>
        <w:pStyle w:val="BodyText"/>
        <w:spacing w:before="90"/>
        <w:ind w:left="820" w:right="162"/>
      </w:pPr>
      <w:r>
        <w:t>The following is considered an emergency circumstance warranting an immediate transfer of the tenant or family:</w:t>
      </w:r>
    </w:p>
    <w:p w14:paraId="6E81284F" w14:textId="77777777" w:rsidR="00E55DDA" w:rsidRDefault="00E55DDA">
      <w:pPr>
        <w:pStyle w:val="BodyText"/>
        <w:spacing w:before="1"/>
      </w:pPr>
    </w:p>
    <w:p w14:paraId="6BF446B3" w14:textId="77777777" w:rsidR="00E55DDA" w:rsidRDefault="00F1618A">
      <w:pPr>
        <w:pStyle w:val="BodyText"/>
        <w:ind w:left="1540" w:right="115"/>
      </w:pPr>
      <w:r>
        <w:t>Maintenance conditions in the resident’s unit, building or at the site that pose an immediate, verifiable threat to the life, health or safety of the resident or family members that cannot be repaired or abated within 24 hours. Examples of such</w:t>
      </w:r>
      <w:r>
        <w:rPr>
          <w:spacing w:val="-10"/>
        </w:rPr>
        <w:t xml:space="preserve"> </w:t>
      </w:r>
      <w:r>
        <w:t>unit or building conditions would include: a gas leak; no heat in the building during the winter; no water; toxic contamination; fire damage; and serious water</w:t>
      </w:r>
      <w:r>
        <w:rPr>
          <w:spacing w:val="-10"/>
        </w:rPr>
        <w:t xml:space="preserve"> </w:t>
      </w:r>
      <w:r>
        <w:t>leaks.</w:t>
      </w:r>
    </w:p>
    <w:p w14:paraId="15491F5D" w14:textId="77777777" w:rsidR="00E55DDA" w:rsidRDefault="00E55DDA">
      <w:pPr>
        <w:pStyle w:val="BodyText"/>
      </w:pPr>
    </w:p>
    <w:p w14:paraId="314500A3" w14:textId="77777777" w:rsidR="00E55DDA" w:rsidRDefault="00F1618A">
      <w:pPr>
        <w:pStyle w:val="Heading1"/>
      </w:pPr>
      <w:r>
        <w:t>12-I.C. EMERGENCY TRANSER PROCEDURES</w:t>
      </w:r>
    </w:p>
    <w:p w14:paraId="3F363C7D" w14:textId="77777777" w:rsidR="00E55DDA" w:rsidRDefault="00E55DDA">
      <w:pPr>
        <w:pStyle w:val="BodyText"/>
        <w:rPr>
          <w:b/>
        </w:rPr>
      </w:pPr>
    </w:p>
    <w:p w14:paraId="1EBB67FF" w14:textId="77777777" w:rsidR="00E55DDA" w:rsidRDefault="00F1618A">
      <w:pPr>
        <w:ind w:left="820"/>
        <w:rPr>
          <w:b/>
          <w:sz w:val="24"/>
        </w:rPr>
      </w:pPr>
      <w:r>
        <w:rPr>
          <w:b/>
          <w:sz w:val="24"/>
          <w:u w:val="thick"/>
        </w:rPr>
        <w:t>MHA Policy</w:t>
      </w:r>
    </w:p>
    <w:p w14:paraId="16915A49" w14:textId="77777777" w:rsidR="00E55DDA" w:rsidRDefault="00E55DDA">
      <w:pPr>
        <w:pStyle w:val="BodyText"/>
        <w:spacing w:before="2"/>
        <w:rPr>
          <w:b/>
          <w:sz w:val="16"/>
        </w:rPr>
      </w:pPr>
    </w:p>
    <w:p w14:paraId="61416248" w14:textId="77777777" w:rsidR="00E55DDA" w:rsidRDefault="00F1618A">
      <w:pPr>
        <w:pStyle w:val="BodyText"/>
        <w:spacing w:before="90"/>
        <w:ind w:left="820" w:right="222"/>
      </w:pPr>
      <w:r>
        <w:t>If the transfer is necessary because of maintenance conditions, and an appropriate unit is not immediately available, the PHA will provide temporary accommodations to the tenant by arranging for temporary lodging at a hotel or similar location. If the conditions that required the transfer cannot be repaired, or the condition cannot be repaired in a reasonable amount of time, the PHA will transfer the resident to the first available and appropriate unit after the temporary relocation.</w:t>
      </w:r>
    </w:p>
    <w:p w14:paraId="2464541A" w14:textId="77777777" w:rsidR="00E55DDA" w:rsidRDefault="00E55DDA">
      <w:pPr>
        <w:pStyle w:val="BodyText"/>
        <w:spacing w:before="1"/>
      </w:pPr>
    </w:p>
    <w:p w14:paraId="37FB2B29" w14:textId="77777777" w:rsidR="00E55DDA" w:rsidRDefault="00F1618A" w:rsidP="00055E95">
      <w:pPr>
        <w:pStyle w:val="BodyText"/>
        <w:ind w:firstLine="720"/>
      </w:pPr>
      <w:r>
        <w:t>Emergency transfers</w:t>
      </w:r>
      <w:r w:rsidR="00364027">
        <w:t xml:space="preserve"> that arise due to maintenance conditions</w:t>
      </w:r>
      <w:r>
        <w:t xml:space="preserve"> are mandatory for the tenant.</w:t>
      </w:r>
    </w:p>
    <w:p w14:paraId="39B382D6" w14:textId="77777777" w:rsidR="00B041BB" w:rsidRDefault="00B041BB">
      <w:pPr>
        <w:pStyle w:val="BodyText"/>
        <w:ind w:left="820"/>
      </w:pPr>
    </w:p>
    <w:p w14:paraId="36AF1566" w14:textId="77777777" w:rsidR="00794FFA" w:rsidRDefault="00794FFA" w:rsidP="00794FFA">
      <w:pPr>
        <w:pStyle w:val="BodyText"/>
        <w:ind w:left="720" w:right="944"/>
      </w:pPr>
      <w:bookmarkStart w:id="0" w:name="_Hlk14704190"/>
      <w:r>
        <w:t xml:space="preserve">A verified incident of domestic violence, dating violence, sexual assault, or stalking. For instances of domestic violence, dating violence, sexual assault, or </w:t>
      </w:r>
      <w:r>
        <w:lastRenderedPageBreak/>
        <w:t>stalking, the threat may be established through documentation outlined in section 16-VII.D. In order to request the emergency transfer, the requestor must submit an emergency transfer request form (HUD-5383) (Exhibit 16-4 of this ACOP), although, the PHA may waive this requirement in order to expedite the transfer process.</w:t>
      </w:r>
    </w:p>
    <w:p w14:paraId="75D4B2BB" w14:textId="77777777" w:rsidR="00794FFA" w:rsidRDefault="00794FFA" w:rsidP="00794FFA">
      <w:pPr>
        <w:pStyle w:val="BodyText"/>
        <w:spacing w:before="121"/>
        <w:ind w:left="720" w:right="855"/>
      </w:pPr>
      <w:r>
        <w:t xml:space="preserve">The PHA will immediately process requests for transfers due to domestic violence, dating violence, sexual assault, or stalking. The PHA will allow a tenant to make an internal emergency transfer under VAWA when a safe unit is immediately available. The PHA defines </w:t>
      </w:r>
      <w:r>
        <w:rPr>
          <w:i/>
        </w:rPr>
        <w:t xml:space="preserve">immediately available </w:t>
      </w:r>
      <w:r>
        <w:t>as a vacant unit, that is ready for move-in within a reasonable period of time. If an internal transfer to a safe unit is not immediately available, the PHA will assist the resident in seeking an external emergency transfer either within or outside the PHA’s programs.</w:t>
      </w:r>
    </w:p>
    <w:p w14:paraId="7BD9B77A" w14:textId="77777777" w:rsidR="00B041BB" w:rsidRDefault="00794FFA" w:rsidP="00794FFA">
      <w:pPr>
        <w:pStyle w:val="BodyText"/>
        <w:spacing w:before="119"/>
        <w:ind w:left="720" w:right="1868"/>
      </w:pPr>
      <w:r>
        <w:t>The PHA has adopted an emergency transfer plan, which is included as Exhibit 16-3 to this plan.</w:t>
      </w:r>
      <w:r w:rsidR="00B041BB">
        <w:t xml:space="preserve"> </w:t>
      </w:r>
    </w:p>
    <w:bookmarkEnd w:id="0"/>
    <w:p w14:paraId="6A60B3C9" w14:textId="77777777" w:rsidR="00794FFA" w:rsidRDefault="00794FFA" w:rsidP="00794FFA"/>
    <w:p w14:paraId="1ADE1896" w14:textId="77777777" w:rsidR="00E55DDA" w:rsidRPr="00794FFA" w:rsidRDefault="00F1618A" w:rsidP="00794FFA">
      <w:pPr>
        <w:rPr>
          <w:b/>
          <w:sz w:val="24"/>
          <w:szCs w:val="24"/>
        </w:rPr>
      </w:pPr>
      <w:r w:rsidRPr="00794FFA">
        <w:rPr>
          <w:b/>
          <w:sz w:val="24"/>
          <w:szCs w:val="24"/>
        </w:rPr>
        <w:t>12-I.D. COSTS OF TRANSFER</w:t>
      </w:r>
    </w:p>
    <w:p w14:paraId="556201EA" w14:textId="77777777" w:rsidR="00E55DDA" w:rsidRDefault="00E55DDA">
      <w:pPr>
        <w:pStyle w:val="BodyText"/>
        <w:rPr>
          <w:b/>
        </w:rPr>
      </w:pPr>
    </w:p>
    <w:p w14:paraId="2BF05C87" w14:textId="77777777" w:rsidR="00E55DDA" w:rsidRDefault="00F1618A">
      <w:pPr>
        <w:ind w:left="820"/>
        <w:rPr>
          <w:b/>
          <w:sz w:val="24"/>
        </w:rPr>
      </w:pPr>
      <w:r>
        <w:rPr>
          <w:b/>
          <w:sz w:val="24"/>
          <w:u w:val="thick"/>
        </w:rPr>
        <w:t>MHA Policy</w:t>
      </w:r>
    </w:p>
    <w:p w14:paraId="3F1A7DCF" w14:textId="77777777" w:rsidR="00E55DDA" w:rsidRDefault="00E55DDA">
      <w:pPr>
        <w:pStyle w:val="BodyText"/>
        <w:spacing w:before="2"/>
        <w:rPr>
          <w:b/>
          <w:sz w:val="16"/>
        </w:rPr>
      </w:pPr>
    </w:p>
    <w:p w14:paraId="76595513" w14:textId="77777777" w:rsidR="00E55DDA" w:rsidRDefault="00F1618A">
      <w:pPr>
        <w:pStyle w:val="BodyText"/>
        <w:spacing w:before="90"/>
        <w:ind w:left="820"/>
      </w:pPr>
      <w:r>
        <w:t>The PHA will bear the reasonable costs of temporarily accommodating the tenant and of long term transfers, if any, due to emergency conditions.</w:t>
      </w:r>
    </w:p>
    <w:p w14:paraId="5C21A2CD" w14:textId="77777777" w:rsidR="00E55DDA" w:rsidRDefault="00E55DDA">
      <w:pPr>
        <w:pStyle w:val="BodyText"/>
        <w:rPr>
          <w:sz w:val="26"/>
        </w:rPr>
      </w:pPr>
    </w:p>
    <w:p w14:paraId="116F77B4" w14:textId="77777777" w:rsidR="00683D2C" w:rsidRDefault="00794FFA" w:rsidP="00683D2C">
      <w:pPr>
        <w:pStyle w:val="BodyText"/>
        <w:ind w:left="100" w:firstLine="720"/>
      </w:pPr>
      <w:bookmarkStart w:id="1" w:name="_Hlk14704283"/>
      <w:r>
        <w:t>The reasonable cost of transfers includes the cost of packing, moving, and unloading.</w:t>
      </w:r>
    </w:p>
    <w:p w14:paraId="7C4FF713" w14:textId="77777777" w:rsidR="00683D2C" w:rsidRDefault="00683D2C" w:rsidP="00683D2C">
      <w:pPr>
        <w:pStyle w:val="BodyText"/>
        <w:ind w:left="100" w:firstLine="720"/>
      </w:pPr>
    </w:p>
    <w:p w14:paraId="22C68712" w14:textId="77777777" w:rsidR="00683D2C" w:rsidRDefault="00794FFA" w:rsidP="00683D2C">
      <w:pPr>
        <w:pStyle w:val="BodyText"/>
        <w:ind w:left="820"/>
      </w:pPr>
      <w:r>
        <w:t>The PHA will establish a moving allowance based on the typical costs in the community of packing, moving, and unloading. To establish typical costs, the PHA will collect information from companies in the community that provide these services.</w:t>
      </w:r>
    </w:p>
    <w:p w14:paraId="3538780F" w14:textId="77777777" w:rsidR="00683D2C" w:rsidRDefault="00683D2C" w:rsidP="00683D2C">
      <w:pPr>
        <w:pStyle w:val="BodyText"/>
        <w:ind w:left="820"/>
      </w:pPr>
    </w:p>
    <w:p w14:paraId="5262ABF8" w14:textId="77777777" w:rsidR="00794FFA" w:rsidRDefault="00794FFA" w:rsidP="00683D2C">
      <w:pPr>
        <w:pStyle w:val="BodyText"/>
        <w:ind w:left="820"/>
      </w:pPr>
      <w:r>
        <w:t>The PHA will reimburse the family for eligible out-of-pocket moving expenses up to the PHA’s established moving allowance.</w:t>
      </w:r>
    </w:p>
    <w:bookmarkEnd w:id="1"/>
    <w:p w14:paraId="2E6C1EBD" w14:textId="77777777" w:rsidR="00683D2C" w:rsidRDefault="00683D2C">
      <w:pPr>
        <w:rPr>
          <w:sz w:val="26"/>
          <w:szCs w:val="24"/>
        </w:rPr>
      </w:pPr>
      <w:r>
        <w:rPr>
          <w:sz w:val="26"/>
        </w:rPr>
        <w:br w:type="page"/>
      </w:r>
    </w:p>
    <w:p w14:paraId="3A7043A6" w14:textId="77777777" w:rsidR="00E55DDA" w:rsidRDefault="00F1618A">
      <w:pPr>
        <w:pStyle w:val="Heading1"/>
        <w:spacing w:before="161"/>
        <w:ind w:left="2586"/>
      </w:pPr>
      <w:r>
        <w:lastRenderedPageBreak/>
        <w:t>PART II: PHA REQUIRED TRANSFERS</w:t>
      </w:r>
    </w:p>
    <w:p w14:paraId="7FE016E9" w14:textId="77777777" w:rsidR="00E55DDA" w:rsidRDefault="00E55DDA">
      <w:pPr>
        <w:pStyle w:val="BodyText"/>
        <w:spacing w:before="1"/>
        <w:rPr>
          <w:b/>
        </w:rPr>
      </w:pPr>
    </w:p>
    <w:p w14:paraId="52DBE028" w14:textId="77777777" w:rsidR="00E55DDA" w:rsidRDefault="00F1618A">
      <w:pPr>
        <w:ind w:left="100"/>
        <w:rPr>
          <w:b/>
          <w:sz w:val="24"/>
        </w:rPr>
      </w:pPr>
      <w:r>
        <w:rPr>
          <w:b/>
          <w:sz w:val="24"/>
        </w:rPr>
        <w:t>12-II.A. OVERVIEW</w:t>
      </w:r>
    </w:p>
    <w:p w14:paraId="58332D94" w14:textId="77777777" w:rsidR="00E55DDA" w:rsidRDefault="00E55DDA">
      <w:pPr>
        <w:pStyle w:val="BodyText"/>
        <w:rPr>
          <w:b/>
        </w:rPr>
      </w:pPr>
    </w:p>
    <w:p w14:paraId="3E6878CF" w14:textId="77777777" w:rsidR="00E55DDA" w:rsidRDefault="00F1618A">
      <w:pPr>
        <w:pStyle w:val="BodyText"/>
        <w:ind w:left="100" w:right="209"/>
      </w:pPr>
      <w:r>
        <w:t>The PHA may require that a resident transfer to another unit under some circumstances. For example, the PHA may require a resident to transfer to make an accessibly unit available to a disabled family. The PHA may also transfer a resident in order to maintain occupancy standards based on family composition. Finally, a PHA may transfer residents in order to demolish or renovate the unit.</w:t>
      </w:r>
    </w:p>
    <w:p w14:paraId="48EF6235" w14:textId="77777777" w:rsidR="00E55DDA" w:rsidRDefault="00E55DDA">
      <w:pPr>
        <w:pStyle w:val="BodyText"/>
      </w:pPr>
    </w:p>
    <w:p w14:paraId="22977042" w14:textId="77777777" w:rsidR="00E55DDA" w:rsidRDefault="00F1618A">
      <w:pPr>
        <w:pStyle w:val="Heading1"/>
      </w:pPr>
      <w:r>
        <w:t>12-II.B. TYPES OF PHA REQUIRED TRANSFERS</w:t>
      </w:r>
    </w:p>
    <w:p w14:paraId="26BA681F" w14:textId="77777777" w:rsidR="00E55DDA" w:rsidRDefault="00E55DDA">
      <w:pPr>
        <w:pStyle w:val="BodyText"/>
        <w:rPr>
          <w:b/>
        </w:rPr>
      </w:pPr>
    </w:p>
    <w:p w14:paraId="5839466D" w14:textId="77777777" w:rsidR="00E55DDA" w:rsidRDefault="00F1618A">
      <w:pPr>
        <w:ind w:left="820"/>
        <w:rPr>
          <w:b/>
          <w:sz w:val="24"/>
        </w:rPr>
      </w:pPr>
      <w:r>
        <w:rPr>
          <w:b/>
          <w:sz w:val="24"/>
          <w:u w:val="thick"/>
        </w:rPr>
        <w:t>MHA Policy</w:t>
      </w:r>
    </w:p>
    <w:p w14:paraId="284FA348" w14:textId="77777777" w:rsidR="00E55DDA" w:rsidRDefault="00E55DDA">
      <w:pPr>
        <w:pStyle w:val="BodyText"/>
        <w:spacing w:before="3"/>
        <w:rPr>
          <w:b/>
          <w:sz w:val="16"/>
        </w:rPr>
      </w:pPr>
    </w:p>
    <w:p w14:paraId="1237D946" w14:textId="77777777" w:rsidR="00E55DDA" w:rsidRDefault="00F1618A">
      <w:pPr>
        <w:pStyle w:val="BodyText"/>
        <w:spacing w:before="90"/>
        <w:ind w:left="820" w:right="363"/>
      </w:pPr>
      <w:r>
        <w:t>The types of transfers that may be required by the PHA, include, but are not limited to, transfers to make an accessible unit available for a disabled family, transfers to comply with occupancy standards, transfers for demolition, disposition, revitalization, or rehabilitation, and emergency transfers as discussed in Part I of this chapter.</w:t>
      </w:r>
    </w:p>
    <w:p w14:paraId="03971D49" w14:textId="77777777" w:rsidR="00E55DDA" w:rsidRDefault="00E55DDA">
      <w:pPr>
        <w:pStyle w:val="BodyText"/>
      </w:pPr>
    </w:p>
    <w:p w14:paraId="574B3E9A" w14:textId="77777777" w:rsidR="00E55DDA" w:rsidRDefault="00F1618A">
      <w:pPr>
        <w:pStyle w:val="BodyText"/>
        <w:ind w:left="820"/>
      </w:pPr>
      <w:r>
        <w:t>Transfers required by the PHA are mandatory for the tenant.</w:t>
      </w:r>
    </w:p>
    <w:p w14:paraId="7CAD85EA" w14:textId="77777777" w:rsidR="00E55DDA" w:rsidRDefault="00E55DDA">
      <w:pPr>
        <w:pStyle w:val="BodyText"/>
      </w:pPr>
    </w:p>
    <w:p w14:paraId="27F75865" w14:textId="77777777" w:rsidR="00E55DDA" w:rsidRDefault="00F1618A">
      <w:pPr>
        <w:pStyle w:val="Heading1"/>
      </w:pPr>
      <w:r>
        <w:t>Transfers to Make an Accessible Unit Available</w:t>
      </w:r>
    </w:p>
    <w:p w14:paraId="5706F43B" w14:textId="77777777" w:rsidR="00E55DDA" w:rsidRDefault="00E55DDA">
      <w:pPr>
        <w:pStyle w:val="BodyText"/>
        <w:rPr>
          <w:b/>
        </w:rPr>
      </w:pPr>
    </w:p>
    <w:p w14:paraId="40D45798" w14:textId="77777777" w:rsidR="00E55DDA" w:rsidRDefault="00F1618A">
      <w:pPr>
        <w:pStyle w:val="BodyText"/>
        <w:ind w:left="100" w:right="343"/>
      </w:pPr>
      <w:r>
        <w:t>When a family is initially given an accessible unit, but does not require the accessible features, the PHA may require the family to agree to move to a non-accessible unit when it becomes available [24 CFR 8.27 (b)].</w:t>
      </w:r>
    </w:p>
    <w:p w14:paraId="2D314C18" w14:textId="77777777" w:rsidR="00E55DDA" w:rsidRDefault="00E55DDA">
      <w:pPr>
        <w:pStyle w:val="BodyText"/>
        <w:spacing w:before="1"/>
      </w:pPr>
    </w:p>
    <w:p w14:paraId="57410172" w14:textId="77777777" w:rsidR="00E55DDA" w:rsidRDefault="00F1618A">
      <w:pPr>
        <w:pStyle w:val="Heading1"/>
        <w:ind w:left="820"/>
      </w:pPr>
      <w:r>
        <w:rPr>
          <w:u w:val="thick"/>
        </w:rPr>
        <w:t>MHA Policy</w:t>
      </w:r>
    </w:p>
    <w:p w14:paraId="73E14C40" w14:textId="77777777" w:rsidR="00E55DDA" w:rsidRDefault="00E55DDA">
      <w:pPr>
        <w:pStyle w:val="BodyText"/>
        <w:spacing w:before="2"/>
        <w:rPr>
          <w:b/>
          <w:sz w:val="16"/>
        </w:rPr>
      </w:pPr>
    </w:p>
    <w:p w14:paraId="25372B49" w14:textId="77777777" w:rsidR="00E55DDA" w:rsidRDefault="00F1618A">
      <w:pPr>
        <w:pStyle w:val="BodyText"/>
        <w:spacing w:before="90"/>
        <w:ind w:left="820" w:right="203"/>
      </w:pPr>
      <w:r>
        <w:t>When a non-accessible unit becomes available, the PHA will transfer a family living in an accessible unit that does not require the accessible features, to an available unit that is not accessible. The PHA may wait until a disabled resident requires the accessible unit before transferring the family that does not require the accessible features out of the accessible unit.</w:t>
      </w:r>
    </w:p>
    <w:p w14:paraId="02BF409D" w14:textId="77777777" w:rsidR="00E55DDA" w:rsidRDefault="00E55DDA">
      <w:pPr>
        <w:pStyle w:val="BodyText"/>
        <w:spacing w:before="10"/>
        <w:rPr>
          <w:sz w:val="10"/>
        </w:rPr>
      </w:pPr>
    </w:p>
    <w:p w14:paraId="7E1E8A8B" w14:textId="77777777" w:rsidR="00E55DDA" w:rsidRDefault="00F1618A">
      <w:pPr>
        <w:pStyle w:val="Heading1"/>
        <w:spacing w:before="90"/>
      </w:pPr>
      <w:r>
        <w:t>Occupancy Standards Transfers</w:t>
      </w:r>
    </w:p>
    <w:p w14:paraId="74B5E996" w14:textId="77777777" w:rsidR="00E55DDA" w:rsidRDefault="00E55DDA">
      <w:pPr>
        <w:pStyle w:val="BodyText"/>
        <w:rPr>
          <w:b/>
        </w:rPr>
      </w:pPr>
    </w:p>
    <w:p w14:paraId="01CF106A" w14:textId="77777777" w:rsidR="00E55DDA" w:rsidRDefault="00F1618A">
      <w:pPr>
        <w:pStyle w:val="BodyText"/>
        <w:ind w:left="100" w:right="138"/>
      </w:pPr>
      <w:r>
        <w:t>The PHA may require a resident to move when a reexamination indicates that there has been a change in the family composition, and the family is either overcrowded or over-housed according to PHA policy [24 CFR 960.25(a)(4)]. On some occasions, the PHA may initially place a resident in an appropriately sized unit at lease-up, where the family is over-housed, to prevent vacancies. The public housing lease must include the tenant’s agreement to transfer to</w:t>
      </w:r>
      <w:r>
        <w:rPr>
          <w:spacing w:val="-17"/>
        </w:rPr>
        <w:t xml:space="preserve"> </w:t>
      </w:r>
      <w:r>
        <w:t>an appropriately sized unit based on family composition [24 CFR</w:t>
      </w:r>
      <w:r>
        <w:rPr>
          <w:spacing w:val="-12"/>
        </w:rPr>
        <w:t xml:space="preserve"> </w:t>
      </w:r>
      <w:r>
        <w:t>966.4(c)(3)].</w:t>
      </w:r>
    </w:p>
    <w:p w14:paraId="7FB55BCA" w14:textId="77777777" w:rsidR="00E55DDA" w:rsidRDefault="00E55DDA">
      <w:pPr>
        <w:pStyle w:val="BodyText"/>
      </w:pPr>
    </w:p>
    <w:p w14:paraId="6B8F57CF" w14:textId="77777777" w:rsidR="00E55DDA" w:rsidRDefault="00F1618A">
      <w:pPr>
        <w:pStyle w:val="Heading1"/>
        <w:ind w:left="820"/>
      </w:pPr>
      <w:r>
        <w:rPr>
          <w:u w:val="thick"/>
        </w:rPr>
        <w:t>MHA Policy</w:t>
      </w:r>
    </w:p>
    <w:p w14:paraId="752881AE" w14:textId="77777777" w:rsidR="00E55DDA" w:rsidRDefault="00E55DDA">
      <w:pPr>
        <w:pStyle w:val="BodyText"/>
        <w:spacing w:before="2"/>
        <w:rPr>
          <w:b/>
          <w:sz w:val="16"/>
        </w:rPr>
      </w:pPr>
    </w:p>
    <w:p w14:paraId="2E03D631" w14:textId="5599B483" w:rsidR="00E55DDA" w:rsidRDefault="00F1618A">
      <w:pPr>
        <w:pStyle w:val="BodyText"/>
        <w:spacing w:before="90"/>
        <w:ind w:left="820" w:right="162"/>
      </w:pPr>
      <w:r>
        <w:t>The PHA will transfer a family when the family size has changed</w:t>
      </w:r>
      <w:r w:rsidR="004B0A35">
        <w:t>,</w:t>
      </w:r>
      <w:r>
        <w:t xml:space="preserve"> and the family is now too large (overcrowded) or too small (over-housed) for the unit occupied.</w:t>
      </w:r>
    </w:p>
    <w:p w14:paraId="643CD184" w14:textId="77777777" w:rsidR="00E55DDA" w:rsidRDefault="00E55DDA">
      <w:pPr>
        <w:pStyle w:val="BodyText"/>
        <w:spacing w:before="1"/>
      </w:pPr>
    </w:p>
    <w:p w14:paraId="0C3EAC3E" w14:textId="77777777" w:rsidR="00E55DDA" w:rsidRDefault="00F1618A">
      <w:pPr>
        <w:pStyle w:val="BodyText"/>
        <w:ind w:left="820" w:right="636"/>
      </w:pPr>
      <w:r>
        <w:lastRenderedPageBreak/>
        <w:t>For the purposes of the transfer policy, overcrowded and over-housed are defined as follows:</w:t>
      </w:r>
    </w:p>
    <w:p w14:paraId="5B628097" w14:textId="77777777" w:rsidR="00E55DDA" w:rsidRDefault="00E55DDA">
      <w:pPr>
        <w:pStyle w:val="BodyText"/>
      </w:pPr>
    </w:p>
    <w:p w14:paraId="6CEC184A" w14:textId="77777777" w:rsidR="00E55DDA" w:rsidRDefault="00F1618A">
      <w:pPr>
        <w:pStyle w:val="BodyText"/>
        <w:ind w:left="1540" w:right="256"/>
        <w:jc w:val="both"/>
      </w:pPr>
      <w:r>
        <w:rPr>
          <w:i/>
        </w:rPr>
        <w:t>Overcrowded</w:t>
      </w:r>
      <w:r>
        <w:t>: the number of household members exceeds the maximum</w:t>
      </w:r>
      <w:r>
        <w:rPr>
          <w:spacing w:val="-13"/>
        </w:rPr>
        <w:t xml:space="preserve"> </w:t>
      </w:r>
      <w:r>
        <w:t>number of persons allowed for the unit size in which the family resides, according to the chart in Section</w:t>
      </w:r>
      <w:r>
        <w:rPr>
          <w:spacing w:val="-1"/>
        </w:rPr>
        <w:t xml:space="preserve"> </w:t>
      </w:r>
      <w:r>
        <w:t>5-I.B.</w:t>
      </w:r>
    </w:p>
    <w:p w14:paraId="386CBD41" w14:textId="77777777" w:rsidR="00E55DDA" w:rsidRDefault="00E55DDA">
      <w:pPr>
        <w:pStyle w:val="BodyText"/>
      </w:pPr>
    </w:p>
    <w:p w14:paraId="3EA52F85" w14:textId="77777777" w:rsidR="00E55DDA" w:rsidRDefault="00F1618A">
      <w:pPr>
        <w:pStyle w:val="BodyText"/>
        <w:ind w:left="1540" w:right="194"/>
        <w:jc w:val="both"/>
      </w:pPr>
      <w:r>
        <w:rPr>
          <w:i/>
        </w:rPr>
        <w:t>Over-housed</w:t>
      </w:r>
      <w:r>
        <w:t>: the family no longer qualifies for the bedroom size in which they are living based on the PHA’s occupancy standards as described in Section 5-I.B.</w:t>
      </w:r>
    </w:p>
    <w:p w14:paraId="621CD10A" w14:textId="77777777" w:rsidR="00E55DDA" w:rsidRDefault="00E55DDA">
      <w:pPr>
        <w:pStyle w:val="BodyText"/>
      </w:pPr>
    </w:p>
    <w:p w14:paraId="068C50AA" w14:textId="77777777" w:rsidR="00E55DDA" w:rsidRDefault="00F1618A">
      <w:pPr>
        <w:pStyle w:val="BodyText"/>
        <w:ind w:left="820" w:right="255"/>
      </w:pPr>
      <w:r>
        <w:t>The PHA may also transfer a family who was initially placed in a unit in which the family was over-housed to a unit of an appropriate sized based on the PHA’s occupancy standards, when the PHA determines there is a need for the transfer.</w:t>
      </w:r>
    </w:p>
    <w:p w14:paraId="4FFF500A" w14:textId="77777777" w:rsidR="00E55DDA" w:rsidRDefault="00E55DDA">
      <w:pPr>
        <w:pStyle w:val="BodyText"/>
        <w:spacing w:before="1"/>
      </w:pPr>
    </w:p>
    <w:p w14:paraId="10AE7803" w14:textId="77777777" w:rsidR="00E55DDA" w:rsidRDefault="00F1618A">
      <w:pPr>
        <w:pStyle w:val="BodyText"/>
        <w:ind w:left="820"/>
      </w:pPr>
      <w:r>
        <w:t>The PHA may elect not to transfer an over-housed family in order to prevent vacancies.</w:t>
      </w:r>
    </w:p>
    <w:p w14:paraId="103EBF8B" w14:textId="77777777" w:rsidR="00E55DDA" w:rsidRDefault="00E55DDA">
      <w:pPr>
        <w:pStyle w:val="BodyText"/>
      </w:pPr>
    </w:p>
    <w:p w14:paraId="5246F0AA" w14:textId="77777777" w:rsidR="00E55DDA" w:rsidRDefault="00F1618A">
      <w:pPr>
        <w:pStyle w:val="BodyText"/>
        <w:ind w:left="820" w:right="162"/>
      </w:pPr>
      <w:r>
        <w:t>A family that is required to move because of family size will be advised by the PHA that a transfer is necessary</w:t>
      </w:r>
      <w:r w:rsidR="00364027">
        <w:t>,</w:t>
      </w:r>
      <w:r>
        <w:t xml:space="preserve"> and that the family has been placed on the transfer list.</w:t>
      </w:r>
    </w:p>
    <w:p w14:paraId="068B9A4E" w14:textId="77777777" w:rsidR="00E55DDA" w:rsidRDefault="00E55DDA">
      <w:pPr>
        <w:pStyle w:val="BodyText"/>
      </w:pPr>
    </w:p>
    <w:p w14:paraId="34AB4F12" w14:textId="77777777" w:rsidR="00E55DDA" w:rsidRDefault="00F1618A">
      <w:pPr>
        <w:pStyle w:val="BodyText"/>
        <w:ind w:left="820" w:right="136"/>
      </w:pPr>
      <w:r>
        <w:t>Families that request and are granted an exception to the occupancy standards (for either a larger or smaller size unit) in accordance with the policies in Section 5-I.C. will only be required to transfer if it is necessary to comply with the approved exception.</w:t>
      </w:r>
    </w:p>
    <w:p w14:paraId="2B0529E0" w14:textId="77777777" w:rsidR="00364027" w:rsidRDefault="00364027">
      <w:pPr>
        <w:pStyle w:val="Heading1"/>
        <w:spacing w:before="79"/>
      </w:pPr>
    </w:p>
    <w:p w14:paraId="00244308" w14:textId="77777777" w:rsidR="00E55DDA" w:rsidRDefault="00F1618A">
      <w:pPr>
        <w:pStyle w:val="Heading1"/>
        <w:spacing w:before="79"/>
      </w:pPr>
      <w:r>
        <w:t>Demolition, Disposition, Revitalizations, or Rehabilitation Transfers</w:t>
      </w:r>
    </w:p>
    <w:p w14:paraId="0A2C366B" w14:textId="77777777" w:rsidR="00E55DDA" w:rsidRDefault="00E55DDA">
      <w:pPr>
        <w:pStyle w:val="BodyText"/>
        <w:rPr>
          <w:b/>
        </w:rPr>
      </w:pPr>
    </w:p>
    <w:p w14:paraId="5D30564D" w14:textId="77777777" w:rsidR="00E55DDA" w:rsidRDefault="00F1618A">
      <w:pPr>
        <w:pStyle w:val="BodyText"/>
        <w:ind w:left="100"/>
      </w:pPr>
      <w:r>
        <w:t>These transfers permit the PHA to demolish, sell or do major capital or rehabilitation work at a building site [PH Occupancy GB, page 148].</w:t>
      </w:r>
    </w:p>
    <w:p w14:paraId="226BAF5E" w14:textId="77777777" w:rsidR="00E55DDA" w:rsidRDefault="00E55DDA">
      <w:pPr>
        <w:pStyle w:val="BodyText"/>
      </w:pPr>
    </w:p>
    <w:p w14:paraId="183366D1" w14:textId="77777777" w:rsidR="00E55DDA" w:rsidRDefault="00F1618A">
      <w:pPr>
        <w:pStyle w:val="Heading1"/>
        <w:ind w:left="820"/>
      </w:pPr>
      <w:r>
        <w:rPr>
          <w:u w:val="thick"/>
        </w:rPr>
        <w:t>MHA Policy</w:t>
      </w:r>
    </w:p>
    <w:p w14:paraId="06FC2636" w14:textId="77777777" w:rsidR="00E55DDA" w:rsidRDefault="00E55DDA">
      <w:pPr>
        <w:pStyle w:val="BodyText"/>
        <w:spacing w:before="2"/>
        <w:rPr>
          <w:b/>
          <w:sz w:val="16"/>
        </w:rPr>
      </w:pPr>
    </w:p>
    <w:p w14:paraId="1252A7A2" w14:textId="77777777" w:rsidR="00E55DDA" w:rsidRDefault="00F1618A">
      <w:pPr>
        <w:pStyle w:val="BodyText"/>
        <w:spacing w:before="90"/>
        <w:ind w:left="820" w:right="488"/>
      </w:pPr>
      <w:r>
        <w:t>The PHA will relocate a family when the unit or site in which the family lives is undergoing major rehabilitation that requires the unit to be vacant, or the unit is being disposed of or demolished. The PHA’s relocation plan may not require transferring affected families to other available public housing units.</w:t>
      </w:r>
    </w:p>
    <w:p w14:paraId="07F5A64E" w14:textId="77777777" w:rsidR="00E55DDA" w:rsidRDefault="00E55DDA">
      <w:pPr>
        <w:pStyle w:val="BodyText"/>
      </w:pPr>
    </w:p>
    <w:p w14:paraId="75F9B781" w14:textId="77777777" w:rsidR="00E55DDA" w:rsidRDefault="00F1618A">
      <w:pPr>
        <w:pStyle w:val="BodyText"/>
        <w:spacing w:before="1"/>
        <w:ind w:left="820" w:right="102"/>
      </w:pPr>
      <w:r>
        <w:t>If the relocation plan calls for transferring public housing families to other public housing units, affected families will be placed on the transfer list.</w:t>
      </w:r>
    </w:p>
    <w:p w14:paraId="0801C069" w14:textId="77777777" w:rsidR="00E55DDA" w:rsidRDefault="00E55DDA">
      <w:pPr>
        <w:pStyle w:val="BodyText"/>
      </w:pPr>
    </w:p>
    <w:p w14:paraId="463F2907" w14:textId="77777777" w:rsidR="00E55DDA" w:rsidRDefault="00F1618A">
      <w:pPr>
        <w:pStyle w:val="BodyText"/>
        <w:ind w:left="820" w:right="389"/>
      </w:pPr>
      <w:r>
        <w:t>In case of revitalization or rehabilitation, the family may be offered a temporary relocation if allowed under Relocation Act provisions, and may be allowed to return to their unit, depending on contractual and legal obligations, once revitalization or rehabilitation is complete.</w:t>
      </w:r>
    </w:p>
    <w:p w14:paraId="0015C3D2" w14:textId="77777777" w:rsidR="00E55DDA" w:rsidRDefault="00E55DDA">
      <w:pPr>
        <w:pStyle w:val="BodyText"/>
      </w:pPr>
    </w:p>
    <w:p w14:paraId="5E05ED55" w14:textId="77777777" w:rsidR="00E55DDA" w:rsidRDefault="00F1618A">
      <w:pPr>
        <w:pStyle w:val="Heading1"/>
      </w:pPr>
      <w:r>
        <w:t>12-II.C. ADVERSE ACTION [24 CFR 966.4(e)(8)(i)]</w:t>
      </w:r>
    </w:p>
    <w:p w14:paraId="246ECFDE" w14:textId="77777777" w:rsidR="00E55DDA" w:rsidRDefault="00E55DDA">
      <w:pPr>
        <w:pStyle w:val="BodyText"/>
        <w:rPr>
          <w:b/>
        </w:rPr>
      </w:pPr>
    </w:p>
    <w:p w14:paraId="4A292DAC" w14:textId="77777777" w:rsidR="00E55DDA" w:rsidRDefault="00F1618A">
      <w:pPr>
        <w:pStyle w:val="BodyText"/>
        <w:ind w:left="100" w:right="249"/>
      </w:pPr>
      <w:r>
        <w:t xml:space="preserve">A PHA required transfer is an adverse action. As an adverse action, the transfer is subject to the requirements regarding notices of adverse actions. If the family requests a grievance hearing within the required timeframe, the PHA may not take action on the transfer until the conclusion </w:t>
      </w:r>
      <w:r>
        <w:lastRenderedPageBreak/>
        <w:t>of the grievance process.</w:t>
      </w:r>
    </w:p>
    <w:p w14:paraId="28C9F7E7" w14:textId="77777777" w:rsidR="00E55DDA" w:rsidRDefault="00E55DDA">
      <w:pPr>
        <w:pStyle w:val="BodyText"/>
        <w:spacing w:before="1"/>
      </w:pPr>
    </w:p>
    <w:p w14:paraId="67381948" w14:textId="77777777" w:rsidR="00E55DDA" w:rsidRDefault="00F1618A">
      <w:pPr>
        <w:pStyle w:val="Heading1"/>
      </w:pPr>
      <w:r>
        <w:t>12-II.D. COST OF TRANSFER</w:t>
      </w:r>
    </w:p>
    <w:p w14:paraId="6E2EBA1E" w14:textId="77777777" w:rsidR="00E55DDA" w:rsidRDefault="00E55DDA">
      <w:pPr>
        <w:pStyle w:val="BodyText"/>
        <w:rPr>
          <w:b/>
        </w:rPr>
      </w:pPr>
    </w:p>
    <w:p w14:paraId="11A6FE5F" w14:textId="77777777" w:rsidR="00E55DDA" w:rsidRDefault="00F1618A">
      <w:pPr>
        <w:ind w:left="820"/>
        <w:rPr>
          <w:b/>
          <w:sz w:val="24"/>
        </w:rPr>
      </w:pPr>
      <w:r>
        <w:rPr>
          <w:b/>
          <w:sz w:val="24"/>
          <w:u w:val="thick"/>
        </w:rPr>
        <w:t>MHA Policy</w:t>
      </w:r>
    </w:p>
    <w:p w14:paraId="4E794486" w14:textId="77777777" w:rsidR="00E55DDA" w:rsidRDefault="00E55DDA">
      <w:pPr>
        <w:pStyle w:val="BodyText"/>
        <w:spacing w:before="2"/>
        <w:rPr>
          <w:b/>
          <w:sz w:val="16"/>
        </w:rPr>
      </w:pPr>
    </w:p>
    <w:p w14:paraId="1D46A37F" w14:textId="77777777" w:rsidR="00E55DDA" w:rsidRDefault="00F1618A">
      <w:pPr>
        <w:pStyle w:val="BodyText"/>
        <w:spacing w:before="90"/>
        <w:ind w:left="820"/>
      </w:pPr>
      <w:r>
        <w:t>The PHA will offer the family moving assistance. If the family refuses PHA moving assistance, the PHA will not bear the cost of the transfer.</w:t>
      </w:r>
    </w:p>
    <w:p w14:paraId="39FAF84F" w14:textId="77777777" w:rsidR="00E55DDA" w:rsidRDefault="00E55DDA">
      <w:pPr>
        <w:sectPr w:rsidR="00E55DDA">
          <w:pgSz w:w="12240" w:h="15840"/>
          <w:pgMar w:top="1360" w:right="1340" w:bottom="920" w:left="1340" w:header="0" w:footer="739" w:gutter="0"/>
          <w:cols w:space="720"/>
        </w:sectPr>
      </w:pPr>
    </w:p>
    <w:p w14:paraId="6C14B8E0" w14:textId="77777777" w:rsidR="00E55DDA" w:rsidRDefault="00F1618A">
      <w:pPr>
        <w:pStyle w:val="Heading1"/>
        <w:spacing w:before="79" w:line="480" w:lineRule="auto"/>
        <w:ind w:right="1936" w:firstLine="1835"/>
      </w:pPr>
      <w:r>
        <w:lastRenderedPageBreak/>
        <w:t>PART III: TRANSFERS REQUESTED BY TENANTS 12-III.A. OVERVIEW</w:t>
      </w:r>
    </w:p>
    <w:p w14:paraId="720562D5" w14:textId="77777777" w:rsidR="00E55DDA" w:rsidRDefault="00F1618A">
      <w:pPr>
        <w:pStyle w:val="BodyText"/>
        <w:ind w:left="100" w:right="301"/>
      </w:pPr>
      <w:r>
        <w:t>The only requests that the PHA is required to consider are requests for reasonable accommodation. All other transfer requests are at the discretion of the PHA. To avoid administrative costs and burdens, this policy limits the types of requests that will be considered by the PHA.</w:t>
      </w:r>
    </w:p>
    <w:p w14:paraId="53AD7027" w14:textId="77777777" w:rsidR="00E55DDA" w:rsidRDefault="00E55DDA">
      <w:pPr>
        <w:pStyle w:val="BodyText"/>
      </w:pPr>
    </w:p>
    <w:p w14:paraId="3FB45BDD" w14:textId="77777777" w:rsidR="00E55DDA" w:rsidRDefault="00F1618A">
      <w:pPr>
        <w:pStyle w:val="Heading1"/>
      </w:pPr>
      <w:r>
        <w:t>12-III.B. TYPES OF RESIDENT REQUESTED TRANSFERS</w:t>
      </w:r>
    </w:p>
    <w:p w14:paraId="05350302" w14:textId="77777777" w:rsidR="00E55DDA" w:rsidRDefault="00E55DDA">
      <w:pPr>
        <w:pStyle w:val="BodyText"/>
        <w:rPr>
          <w:b/>
        </w:rPr>
      </w:pPr>
    </w:p>
    <w:p w14:paraId="5DC10F69" w14:textId="77777777" w:rsidR="00E55DDA" w:rsidRDefault="00F1618A">
      <w:pPr>
        <w:ind w:left="820"/>
        <w:rPr>
          <w:b/>
          <w:sz w:val="24"/>
        </w:rPr>
      </w:pPr>
      <w:r>
        <w:rPr>
          <w:b/>
          <w:sz w:val="24"/>
          <w:u w:val="thick"/>
        </w:rPr>
        <w:t>MHA Policy</w:t>
      </w:r>
    </w:p>
    <w:p w14:paraId="52790503" w14:textId="77777777" w:rsidR="00E55DDA" w:rsidRDefault="00E55DDA">
      <w:pPr>
        <w:pStyle w:val="BodyText"/>
        <w:spacing w:before="3"/>
        <w:rPr>
          <w:b/>
          <w:sz w:val="16"/>
        </w:rPr>
      </w:pPr>
    </w:p>
    <w:p w14:paraId="07C22414" w14:textId="77777777" w:rsidR="00E55DDA" w:rsidRDefault="00F1618A">
      <w:pPr>
        <w:pStyle w:val="BodyText"/>
        <w:spacing w:before="90"/>
        <w:ind w:left="820" w:right="162"/>
      </w:pPr>
      <w:r>
        <w:t>The types of requests for transfers that the PHA will consider are limited to requests for transfers to alleviate a serious or life threatening medical condition, transfers due to a threat or physical harm or criminal activity,</w:t>
      </w:r>
      <w:r w:rsidR="00683D2C">
        <w:t xml:space="preserve"> </w:t>
      </w:r>
      <w:bookmarkStart w:id="2" w:name="_Hlk14704478"/>
      <w:r w:rsidR="00683D2C" w:rsidRPr="002C41A8">
        <w:t>transfers to a different unit size as long as the family qualifies for the unit according to the PHA’s occupancy standards</w:t>
      </w:r>
      <w:bookmarkEnd w:id="2"/>
      <w:r w:rsidR="00683D2C">
        <w:t>,</w:t>
      </w:r>
      <w:r>
        <w:t xml:space="preserve"> and reasonable accommodation. No other transfer requests will be considered by the PHA.</w:t>
      </w:r>
    </w:p>
    <w:p w14:paraId="3DEEBA87" w14:textId="77777777" w:rsidR="00E55DDA" w:rsidRDefault="00E55DDA">
      <w:pPr>
        <w:pStyle w:val="BodyText"/>
      </w:pPr>
    </w:p>
    <w:p w14:paraId="0A76ADC7" w14:textId="77777777" w:rsidR="00E55DDA" w:rsidRDefault="00F1618A">
      <w:pPr>
        <w:pStyle w:val="BodyText"/>
        <w:ind w:left="820"/>
      </w:pPr>
      <w:r>
        <w:t>There will be no “split” leasing regarding a transfer request.</w:t>
      </w:r>
    </w:p>
    <w:p w14:paraId="05F571E1" w14:textId="77777777" w:rsidR="00E55DDA" w:rsidRDefault="00E55DDA">
      <w:pPr>
        <w:pStyle w:val="BodyText"/>
      </w:pPr>
    </w:p>
    <w:p w14:paraId="341E7C43" w14:textId="77777777" w:rsidR="00E55DDA" w:rsidRDefault="00F1618A">
      <w:pPr>
        <w:pStyle w:val="BodyText"/>
        <w:ind w:left="820"/>
      </w:pPr>
      <w:r>
        <w:t>The PHA will consider the following as high priority transfer request:</w:t>
      </w:r>
    </w:p>
    <w:p w14:paraId="1091E0AC" w14:textId="77777777" w:rsidR="00E55DDA" w:rsidRDefault="00E55DDA">
      <w:pPr>
        <w:pStyle w:val="BodyText"/>
      </w:pPr>
    </w:p>
    <w:p w14:paraId="4764E127" w14:textId="77777777" w:rsidR="00E55DDA" w:rsidRDefault="00F1618A">
      <w:pPr>
        <w:pStyle w:val="BodyText"/>
        <w:ind w:left="1540" w:right="401"/>
      </w:pPr>
      <w:r>
        <w:t>When a transfer is needed to alleviate verified medical problems of a serious or life-threatening nature</w:t>
      </w:r>
    </w:p>
    <w:p w14:paraId="041E77A1" w14:textId="77777777" w:rsidR="00E55DDA" w:rsidRDefault="00E55DDA">
      <w:pPr>
        <w:pStyle w:val="BodyText"/>
      </w:pPr>
    </w:p>
    <w:p w14:paraId="1FE00287" w14:textId="77777777" w:rsidR="00E55DDA" w:rsidRDefault="00F1618A">
      <w:pPr>
        <w:pStyle w:val="BodyText"/>
        <w:ind w:left="1540" w:right="162"/>
      </w:pPr>
      <w:bookmarkStart w:id="3" w:name="_Hlk33016421"/>
      <w:r>
        <w:t>When there has been a verified threat of physical harm or criminal activity. Such circumstances may, at the PHA’s discretion, include an assessment by law enforcement indicating that a family member is the actual or potential victim of a criminal attack, retaliation for testimony, a hate crime, or domestic violence, dating violence, sexual assault, or stalking.</w:t>
      </w:r>
      <w:r w:rsidR="00364027">
        <w:t xml:space="preserve"> For instances of domestic violence, dating violence, sexual assault, or stalking, the threat may also be established through documentation outlined in section 16-VII.D, or by any proof accepted by the PHA.</w:t>
      </w:r>
    </w:p>
    <w:bookmarkEnd w:id="3"/>
    <w:p w14:paraId="6FCDC0DE" w14:textId="77777777" w:rsidR="00E55DDA" w:rsidRDefault="00E55DDA">
      <w:pPr>
        <w:pStyle w:val="BodyText"/>
        <w:spacing w:before="1"/>
      </w:pPr>
    </w:p>
    <w:p w14:paraId="436CFDF5" w14:textId="77777777" w:rsidR="00E55DDA" w:rsidRDefault="00F1618A">
      <w:pPr>
        <w:pStyle w:val="BodyText"/>
        <w:ind w:left="1540" w:right="187"/>
      </w:pPr>
      <w:r>
        <w:t>When a family requests a transfer as a reasonable accommodation. Examples of a reasonable accommodation transfer include, but are not limited to, a transfer to a first-floor unit for a person with mobility impairment, or a transfer to a unit with accessible features</w:t>
      </w:r>
    </w:p>
    <w:p w14:paraId="47577CD7" w14:textId="77777777" w:rsidR="00E55DDA" w:rsidRDefault="00E55DDA">
      <w:pPr>
        <w:pStyle w:val="BodyText"/>
      </w:pPr>
    </w:p>
    <w:p w14:paraId="025D1FF9" w14:textId="77777777" w:rsidR="00E55DDA" w:rsidRDefault="00F1618A">
      <w:pPr>
        <w:pStyle w:val="BodyText"/>
        <w:ind w:left="820"/>
      </w:pPr>
      <w:r>
        <w:t>Transfers requested by the tenant are considered optional for the tenant.</w:t>
      </w:r>
    </w:p>
    <w:p w14:paraId="49A03B18" w14:textId="77777777" w:rsidR="00E55DDA" w:rsidRDefault="00E55DDA">
      <w:pPr>
        <w:pStyle w:val="BodyText"/>
        <w:rPr>
          <w:sz w:val="20"/>
        </w:rPr>
      </w:pPr>
    </w:p>
    <w:p w14:paraId="2307E4EF" w14:textId="77777777" w:rsidR="00E55DDA" w:rsidRDefault="00E55DDA">
      <w:pPr>
        <w:pStyle w:val="BodyText"/>
        <w:spacing w:before="8"/>
        <w:rPr>
          <w:sz w:val="22"/>
        </w:rPr>
      </w:pPr>
    </w:p>
    <w:p w14:paraId="00E66DCF" w14:textId="77777777" w:rsidR="00E55DDA" w:rsidRDefault="00F1618A">
      <w:pPr>
        <w:pStyle w:val="Heading1"/>
      </w:pPr>
      <w:r>
        <w:t>12-III.C. ELIGIBILITY FOR TRANSFER</w:t>
      </w:r>
    </w:p>
    <w:p w14:paraId="230F4E88" w14:textId="77777777" w:rsidR="00E55DDA" w:rsidRDefault="00E55DDA">
      <w:pPr>
        <w:pStyle w:val="BodyText"/>
        <w:rPr>
          <w:b/>
        </w:rPr>
      </w:pPr>
    </w:p>
    <w:p w14:paraId="1D4470F4" w14:textId="77777777" w:rsidR="00E55DDA" w:rsidRDefault="00F1618A">
      <w:pPr>
        <w:pStyle w:val="BodyText"/>
        <w:ind w:left="100" w:right="402"/>
      </w:pPr>
      <w:r>
        <w:t>Transferring residents do not have to meet the admission eligibility requirements pertaining to income or preference. However, the PHA may establish other standards for considering a transfer request [PH Occupancy GB, p. 150].</w:t>
      </w:r>
    </w:p>
    <w:p w14:paraId="5C954B48" w14:textId="48A0B7A5" w:rsidR="00E55DDA" w:rsidRDefault="00232E84">
      <w:pPr>
        <w:pStyle w:val="Heading1"/>
        <w:ind w:left="820"/>
      </w:pPr>
      <w:r>
        <w:rPr>
          <w:u w:val="thick"/>
        </w:rPr>
        <w:lastRenderedPageBreak/>
        <w:t>M</w:t>
      </w:r>
      <w:r w:rsidR="00F1618A">
        <w:rPr>
          <w:u w:val="thick"/>
        </w:rPr>
        <w:t>HA Policy</w:t>
      </w:r>
    </w:p>
    <w:p w14:paraId="6675F9D9" w14:textId="77777777" w:rsidR="00E55DDA" w:rsidRDefault="00E55DDA">
      <w:pPr>
        <w:pStyle w:val="BodyText"/>
        <w:spacing w:before="2"/>
        <w:rPr>
          <w:b/>
          <w:sz w:val="16"/>
        </w:rPr>
      </w:pPr>
    </w:p>
    <w:p w14:paraId="56FEDADD" w14:textId="77777777" w:rsidR="00E55DDA" w:rsidRDefault="00F1618A">
      <w:pPr>
        <w:pStyle w:val="BodyText"/>
        <w:spacing w:before="90"/>
        <w:ind w:left="820"/>
      </w:pPr>
      <w:r>
        <w:t>Except where reasonable accommodation or VAWA protection is being requested, the PHA will only consider transfer requests from residents that meet the following requirements:</w:t>
      </w:r>
    </w:p>
    <w:p w14:paraId="0A1F32BF" w14:textId="77777777" w:rsidR="00E55DDA" w:rsidRDefault="00E55DDA">
      <w:pPr>
        <w:pStyle w:val="BodyText"/>
        <w:spacing w:before="1"/>
      </w:pPr>
    </w:p>
    <w:p w14:paraId="69EA706C" w14:textId="77777777" w:rsidR="00E55DDA" w:rsidRDefault="00F1618A">
      <w:pPr>
        <w:pStyle w:val="BodyText"/>
        <w:ind w:left="1540"/>
      </w:pPr>
      <w:r>
        <w:t>Have not engaged in criminal activity that threatens the health and safety or residents and staff</w:t>
      </w:r>
    </w:p>
    <w:p w14:paraId="61E7D16C" w14:textId="77777777" w:rsidR="00E55DDA" w:rsidRDefault="00E55DDA">
      <w:pPr>
        <w:pStyle w:val="BodyText"/>
      </w:pPr>
    </w:p>
    <w:p w14:paraId="155A158C" w14:textId="77777777" w:rsidR="00E55DDA" w:rsidRDefault="00F1618A">
      <w:pPr>
        <w:pStyle w:val="BodyText"/>
        <w:ind w:left="1540"/>
      </w:pPr>
      <w:r>
        <w:t>Owe back rent or other charges, or have a pattern of late payment</w:t>
      </w:r>
    </w:p>
    <w:p w14:paraId="3BF95242" w14:textId="77777777" w:rsidR="00E55DDA" w:rsidRDefault="00E55DDA">
      <w:pPr>
        <w:pStyle w:val="BodyText"/>
      </w:pPr>
    </w:p>
    <w:p w14:paraId="66D582DE" w14:textId="77777777" w:rsidR="00E55DDA" w:rsidRDefault="00F1618A">
      <w:pPr>
        <w:pStyle w:val="BodyText"/>
        <w:ind w:left="1540"/>
      </w:pPr>
      <w:r>
        <w:t>Have no housekeeping lease violations or history of damaging property</w:t>
      </w:r>
    </w:p>
    <w:p w14:paraId="280A7723" w14:textId="77777777" w:rsidR="00E55DDA" w:rsidRDefault="00E55DDA">
      <w:pPr>
        <w:pStyle w:val="BodyText"/>
      </w:pPr>
    </w:p>
    <w:p w14:paraId="34893030" w14:textId="77777777" w:rsidR="00E55DDA" w:rsidRDefault="00F1618A">
      <w:pPr>
        <w:pStyle w:val="BodyText"/>
        <w:ind w:left="1540" w:right="282"/>
      </w:pPr>
      <w:r>
        <w:t>Can get utilities turned on in the name of the head of household (applicable only to properties with tenant-paid utilities)</w:t>
      </w:r>
    </w:p>
    <w:p w14:paraId="0E0A7D4E" w14:textId="77777777" w:rsidR="00E55DDA" w:rsidRDefault="00E55DDA">
      <w:pPr>
        <w:pStyle w:val="BodyText"/>
      </w:pPr>
    </w:p>
    <w:p w14:paraId="4375C0F9" w14:textId="77777777" w:rsidR="00E55DDA" w:rsidRDefault="00F1618A">
      <w:pPr>
        <w:pStyle w:val="BodyText"/>
        <w:ind w:left="100" w:right="748"/>
      </w:pPr>
      <w:r>
        <w:t>A resident with housekeeping standards violations will not be transferred until the resident passes a follow-up housekeeping inspection.</w:t>
      </w:r>
    </w:p>
    <w:p w14:paraId="1778EDAC" w14:textId="77777777" w:rsidR="00E55DDA" w:rsidRDefault="00E55DDA">
      <w:pPr>
        <w:pStyle w:val="BodyText"/>
        <w:spacing w:before="1"/>
      </w:pPr>
    </w:p>
    <w:p w14:paraId="15429177" w14:textId="115EEF0E" w:rsidR="00E55DDA" w:rsidRDefault="00F1618A">
      <w:pPr>
        <w:pStyle w:val="BodyText"/>
        <w:ind w:left="100" w:right="155"/>
      </w:pPr>
      <w:r>
        <w:t xml:space="preserve">Exceptions to the good record requirement may be made when it is to the PHA’s advantage to make the transfer. Exceptions may also be made the PHA determines that a transfer is necessary to protect the health or safety of a resident who is a victim of domestic violence, dating violence, </w:t>
      </w:r>
      <w:r w:rsidR="00232E84">
        <w:t xml:space="preserve">sexual assault </w:t>
      </w:r>
      <w:r>
        <w:t>or stalking and who provides documentation of abuse in accordance with section 16-VII.D of this ACOP.</w:t>
      </w:r>
    </w:p>
    <w:p w14:paraId="35D33BA0" w14:textId="77777777" w:rsidR="00E55DDA" w:rsidRDefault="00E55DDA">
      <w:pPr>
        <w:pStyle w:val="BodyText"/>
      </w:pPr>
    </w:p>
    <w:p w14:paraId="03A34837" w14:textId="77777777" w:rsidR="00E55DDA" w:rsidRDefault="00F1618A">
      <w:pPr>
        <w:pStyle w:val="BodyText"/>
        <w:ind w:left="100"/>
      </w:pPr>
      <w:r>
        <w:t>If a family requested to be placed on the waiting list for an efficiency or a unit size smaller than designated by the occupancy guidelines, the family will not be eligible to transfer to a larger size unit for a period of three years from the date of admission, unless they have a change in family or composition, or it is needed as a reasonable accommodation.</w:t>
      </w:r>
    </w:p>
    <w:p w14:paraId="2A16065A" w14:textId="77777777" w:rsidR="00E55DDA" w:rsidRDefault="00E55DDA">
      <w:pPr>
        <w:pStyle w:val="BodyText"/>
        <w:spacing w:before="1"/>
      </w:pPr>
    </w:p>
    <w:p w14:paraId="29FE7028" w14:textId="77777777" w:rsidR="00E55DDA" w:rsidRDefault="00F1618A">
      <w:pPr>
        <w:pStyle w:val="Heading1"/>
      </w:pPr>
      <w:r>
        <w:t>12-III.D. SECURITY DEPOSITS</w:t>
      </w:r>
    </w:p>
    <w:p w14:paraId="2121709F" w14:textId="77777777" w:rsidR="00E55DDA" w:rsidRDefault="00E55DDA">
      <w:pPr>
        <w:pStyle w:val="BodyText"/>
        <w:rPr>
          <w:b/>
        </w:rPr>
      </w:pPr>
    </w:p>
    <w:p w14:paraId="1AEA3F2F" w14:textId="77777777" w:rsidR="00E55DDA" w:rsidRDefault="00F1618A">
      <w:pPr>
        <w:ind w:left="820"/>
        <w:rPr>
          <w:b/>
          <w:sz w:val="24"/>
        </w:rPr>
      </w:pPr>
      <w:r>
        <w:rPr>
          <w:b/>
          <w:sz w:val="24"/>
          <w:u w:val="thick"/>
        </w:rPr>
        <w:t>MHA Policy</w:t>
      </w:r>
    </w:p>
    <w:p w14:paraId="2786A320" w14:textId="77777777" w:rsidR="00E55DDA" w:rsidRDefault="00E55DDA">
      <w:pPr>
        <w:pStyle w:val="BodyText"/>
        <w:spacing w:before="2"/>
        <w:rPr>
          <w:b/>
          <w:sz w:val="16"/>
        </w:rPr>
      </w:pPr>
    </w:p>
    <w:p w14:paraId="732CCD2D" w14:textId="77777777" w:rsidR="00E55DDA" w:rsidRDefault="00F1618A">
      <w:pPr>
        <w:pStyle w:val="BodyText"/>
        <w:spacing w:before="90"/>
        <w:ind w:left="820" w:right="349"/>
      </w:pPr>
      <w:r>
        <w:t>When a family transfers from one unit to another, the PHA will transfer their security deposit to the new unit. The tenant will be billed for any maintenance or others charges due for the “old” unit.</w:t>
      </w:r>
    </w:p>
    <w:p w14:paraId="18C82D4A" w14:textId="77777777" w:rsidR="00364027" w:rsidRDefault="00364027">
      <w:pPr>
        <w:pStyle w:val="Heading1"/>
      </w:pPr>
    </w:p>
    <w:p w14:paraId="527E1FC3" w14:textId="77777777" w:rsidR="00E55DDA" w:rsidRDefault="00F1618A">
      <w:pPr>
        <w:pStyle w:val="Heading1"/>
      </w:pPr>
      <w:r>
        <w:t>12-III.E. COST OF TRANSFER</w:t>
      </w:r>
    </w:p>
    <w:p w14:paraId="4B95584D" w14:textId="77777777" w:rsidR="00E55DDA" w:rsidRDefault="00E55DDA">
      <w:pPr>
        <w:pStyle w:val="BodyText"/>
        <w:rPr>
          <w:b/>
        </w:rPr>
      </w:pPr>
    </w:p>
    <w:p w14:paraId="34E0CF19" w14:textId="6F38E200" w:rsidR="00364027" w:rsidRDefault="00F1618A" w:rsidP="00232E84">
      <w:pPr>
        <w:pStyle w:val="BodyText"/>
        <w:ind w:left="100" w:right="162"/>
      </w:pPr>
      <w:r>
        <w:t xml:space="preserve">The PHA must pay moving expenses to transfer a resident with a disability to an accessible unit as an accommodation for the resident’s disability [Notice PIH </w:t>
      </w:r>
      <w:r w:rsidR="00232E84">
        <w:t>2010-26</w:t>
      </w:r>
      <w:r>
        <w:t>]</w:t>
      </w:r>
      <w:r w:rsidR="00232E84">
        <w:t>.</w:t>
      </w:r>
    </w:p>
    <w:p w14:paraId="2F75B5AB" w14:textId="77777777" w:rsidR="00364027" w:rsidRDefault="00364027">
      <w:pPr>
        <w:pStyle w:val="BodyText"/>
      </w:pPr>
    </w:p>
    <w:p w14:paraId="51C734D1" w14:textId="77777777" w:rsidR="00E55DDA" w:rsidRDefault="00F1618A">
      <w:pPr>
        <w:pStyle w:val="Heading1"/>
        <w:ind w:left="820"/>
      </w:pPr>
      <w:r>
        <w:rPr>
          <w:u w:val="thick"/>
        </w:rPr>
        <w:t>MHA Policy</w:t>
      </w:r>
    </w:p>
    <w:p w14:paraId="62420BA4" w14:textId="77777777" w:rsidR="00E55DDA" w:rsidRDefault="00E55DDA">
      <w:pPr>
        <w:pStyle w:val="BodyText"/>
        <w:spacing w:before="2"/>
        <w:rPr>
          <w:b/>
          <w:sz w:val="16"/>
        </w:rPr>
      </w:pPr>
    </w:p>
    <w:p w14:paraId="1AC58AFE" w14:textId="77777777" w:rsidR="00E55DDA" w:rsidRDefault="00F1618A">
      <w:pPr>
        <w:pStyle w:val="BodyText"/>
        <w:spacing w:before="90"/>
        <w:ind w:left="820" w:right="529"/>
      </w:pPr>
      <w:r>
        <w:t>The resident will bear all of the costs of transfer s/he request. However, the PHA will bear the transfer costs when the transfer is done as a reasonable accommodation.</w:t>
      </w:r>
    </w:p>
    <w:p w14:paraId="2771E1C8" w14:textId="77777777" w:rsidR="00E55DDA" w:rsidRDefault="00E55DDA">
      <w:pPr>
        <w:pStyle w:val="BodyText"/>
      </w:pPr>
    </w:p>
    <w:p w14:paraId="56EF6F46" w14:textId="77777777" w:rsidR="00E55DDA" w:rsidRDefault="00F1618A">
      <w:pPr>
        <w:pStyle w:val="Heading1"/>
        <w:spacing w:before="1"/>
      </w:pPr>
      <w:r>
        <w:lastRenderedPageBreak/>
        <w:t>12-III.F. HANDLING OF REQUESTS</w:t>
      </w:r>
    </w:p>
    <w:p w14:paraId="3A8CC46B" w14:textId="77777777" w:rsidR="00E55DDA" w:rsidRDefault="00E55DDA">
      <w:pPr>
        <w:pStyle w:val="BodyText"/>
        <w:rPr>
          <w:b/>
        </w:rPr>
      </w:pPr>
    </w:p>
    <w:p w14:paraId="45581D9B" w14:textId="77777777" w:rsidR="00E55DDA" w:rsidRDefault="00F1618A">
      <w:pPr>
        <w:ind w:left="820"/>
        <w:rPr>
          <w:b/>
          <w:sz w:val="24"/>
        </w:rPr>
      </w:pPr>
      <w:r>
        <w:rPr>
          <w:b/>
          <w:sz w:val="24"/>
          <w:u w:val="thick"/>
        </w:rPr>
        <w:t>MHA Policy</w:t>
      </w:r>
    </w:p>
    <w:p w14:paraId="607489E4" w14:textId="77777777" w:rsidR="00E55DDA" w:rsidRDefault="00E55DDA">
      <w:pPr>
        <w:pStyle w:val="BodyText"/>
        <w:spacing w:before="2"/>
        <w:rPr>
          <w:b/>
          <w:sz w:val="16"/>
        </w:rPr>
      </w:pPr>
    </w:p>
    <w:p w14:paraId="71DACDB6" w14:textId="77777777" w:rsidR="00E55DDA" w:rsidRDefault="00F1618A">
      <w:pPr>
        <w:pStyle w:val="BodyText"/>
        <w:spacing w:before="90"/>
        <w:ind w:left="820" w:right="208"/>
      </w:pPr>
      <w:r>
        <w:t>Residents requesting a transfer to another unit or development will be required to submit a written request for transfer.</w:t>
      </w:r>
    </w:p>
    <w:p w14:paraId="7212AFCE" w14:textId="77777777" w:rsidR="00E55DDA" w:rsidRDefault="00E55DDA">
      <w:pPr>
        <w:pStyle w:val="BodyText"/>
      </w:pPr>
    </w:p>
    <w:p w14:paraId="51EF793B" w14:textId="77777777" w:rsidR="00E55DDA" w:rsidRDefault="00F1618A">
      <w:pPr>
        <w:pStyle w:val="BodyText"/>
        <w:ind w:left="820" w:right="162"/>
      </w:pPr>
      <w:r>
        <w:t>In case of a reasonable accommodation transfer, the PHA will encourage the resident to make the request in writing using a reasonable accommodation request form. However, the PHA will consider the transfer request any time the resident indicates that an accommodation is needed whether or not a formal written request is submitted.</w:t>
      </w:r>
    </w:p>
    <w:p w14:paraId="6B0AAEF6" w14:textId="77777777" w:rsidR="00E55DDA" w:rsidRDefault="00E55DDA">
      <w:pPr>
        <w:pStyle w:val="BodyText"/>
      </w:pPr>
    </w:p>
    <w:p w14:paraId="13E70E1A" w14:textId="77777777" w:rsidR="00E55DDA" w:rsidRDefault="00F1618A">
      <w:pPr>
        <w:pStyle w:val="BodyText"/>
        <w:ind w:left="820" w:right="129"/>
      </w:pPr>
      <w:r>
        <w:t>The PHA will respond by approving the transfer and putting the family on the transfer list, by denying the transfer, or by requiring more information or documentation from the family, such as documentation of domestic violence, dating violence, or stalking in accordance with section 16-VII.D of this ACOP.</w:t>
      </w:r>
    </w:p>
    <w:p w14:paraId="2214C34E" w14:textId="77777777" w:rsidR="00E55DDA" w:rsidRDefault="00E55DDA">
      <w:pPr>
        <w:pStyle w:val="BodyText"/>
        <w:spacing w:before="1"/>
      </w:pPr>
    </w:p>
    <w:p w14:paraId="1195423C" w14:textId="77777777" w:rsidR="00E55DDA" w:rsidRDefault="00F1618A">
      <w:pPr>
        <w:pStyle w:val="BodyText"/>
        <w:ind w:left="820" w:right="336"/>
      </w:pPr>
      <w:r>
        <w:t>If the family does not meet the “good record” requirements under Section 12-III.C., the manager will address the problem and, until resolved, the request for transfer will be denied.</w:t>
      </w:r>
    </w:p>
    <w:p w14:paraId="261AA26F" w14:textId="77777777" w:rsidR="00E55DDA" w:rsidRDefault="00E55DDA">
      <w:pPr>
        <w:pStyle w:val="BodyText"/>
      </w:pPr>
    </w:p>
    <w:p w14:paraId="66D63D5C" w14:textId="77777777" w:rsidR="00364027" w:rsidRDefault="00F1618A" w:rsidP="00364027">
      <w:pPr>
        <w:pStyle w:val="BodyText"/>
        <w:ind w:left="820" w:right="943"/>
      </w:pPr>
      <w:r>
        <w:t>The PHA will respond within twenty (20) business days of the submission of the family’s request. If the PHA denies the request for transfer, the family will be informed of its grievance rights.</w:t>
      </w:r>
      <w:r w:rsidR="00683D2C">
        <w:t xml:space="preserve"> </w:t>
      </w:r>
    </w:p>
    <w:p w14:paraId="43FCE5BD" w14:textId="77777777" w:rsidR="00364027" w:rsidRDefault="00364027" w:rsidP="00364027">
      <w:pPr>
        <w:pStyle w:val="BodyText"/>
        <w:ind w:left="720" w:right="943"/>
      </w:pPr>
    </w:p>
    <w:p w14:paraId="58064C0A" w14:textId="77777777" w:rsidR="00683D2C" w:rsidRDefault="00683D2C" w:rsidP="00364027">
      <w:pPr>
        <w:pStyle w:val="BodyText"/>
        <w:ind w:left="820" w:right="943"/>
      </w:pPr>
      <w:bookmarkStart w:id="4" w:name="_Hlk14704561"/>
      <w:r>
        <w:t>In order to request the emergency transfer under VAWA, the resident will be required to submit an emergency transfer request form (HUD-5383) (Exhibit 16-4 of this ACOP).</w:t>
      </w:r>
      <w:r w:rsidR="00364027">
        <w:t xml:space="preserve"> </w:t>
      </w:r>
      <w:r>
        <w:t>The PHA may, on a case-by-case basis, waive this requirement and accept a verbal request in order to expedite the transfer process. If the PHA accepts an individual’s statement, the PHA will document acceptance of the statement in the individual’s file in accordance with 16-VII.D. of this ACOP. Transfer requests under VAWA will be processed in accordance with the PHA’s Emergency Transfer Plan (Exhibit 16-3). In case of a reasonable accommodation transfer, the PHA will encourage the resident to make the request in writing using a reasonable accommodation request form. However, the PHA will consider the transfer request any time the resident indicates that an accommodation is needed whether or not a formal written request is</w:t>
      </w:r>
      <w:r>
        <w:rPr>
          <w:spacing w:val="-3"/>
        </w:rPr>
        <w:t xml:space="preserve"> </w:t>
      </w:r>
      <w:r>
        <w:t>submitted.</w:t>
      </w:r>
    </w:p>
    <w:bookmarkEnd w:id="4"/>
    <w:p w14:paraId="04A0074F" w14:textId="77777777" w:rsidR="00683D2C" w:rsidRDefault="00683D2C" w:rsidP="00683D2C">
      <w:pPr>
        <w:pStyle w:val="BodyText"/>
        <w:ind w:left="820"/>
        <w:sectPr w:rsidR="00683D2C">
          <w:pgSz w:w="12240" w:h="15840"/>
          <w:pgMar w:top="1500" w:right="1340" w:bottom="920" w:left="1340" w:header="0" w:footer="739" w:gutter="0"/>
          <w:cols w:space="720"/>
        </w:sectPr>
      </w:pPr>
    </w:p>
    <w:p w14:paraId="0A4515DA" w14:textId="77777777" w:rsidR="00E55DDA" w:rsidRDefault="00F1618A">
      <w:pPr>
        <w:pStyle w:val="Heading1"/>
        <w:ind w:left="2762"/>
      </w:pPr>
      <w:r>
        <w:lastRenderedPageBreak/>
        <w:t>PART IV: TRANSFER PROCESSING</w:t>
      </w:r>
    </w:p>
    <w:p w14:paraId="17640FDC" w14:textId="77777777" w:rsidR="00E55DDA" w:rsidRDefault="00E55DDA">
      <w:pPr>
        <w:pStyle w:val="BodyText"/>
        <w:spacing w:before="2"/>
        <w:rPr>
          <w:b/>
          <w:sz w:val="16"/>
        </w:rPr>
      </w:pPr>
    </w:p>
    <w:p w14:paraId="74C11F38" w14:textId="77777777" w:rsidR="00E55DDA" w:rsidRDefault="00F1618A">
      <w:pPr>
        <w:spacing w:before="90"/>
        <w:ind w:left="100"/>
        <w:rPr>
          <w:b/>
          <w:sz w:val="24"/>
        </w:rPr>
      </w:pPr>
      <w:r>
        <w:rPr>
          <w:b/>
          <w:sz w:val="24"/>
        </w:rPr>
        <w:t>12-IV.A. OVERVIEW</w:t>
      </w:r>
    </w:p>
    <w:p w14:paraId="2FD79F4E" w14:textId="77777777" w:rsidR="00E55DDA" w:rsidRDefault="00E55DDA">
      <w:pPr>
        <w:pStyle w:val="BodyText"/>
        <w:rPr>
          <w:b/>
        </w:rPr>
      </w:pPr>
    </w:p>
    <w:p w14:paraId="7E0745D4" w14:textId="77777777" w:rsidR="00E55DDA" w:rsidRDefault="00F1618A">
      <w:pPr>
        <w:pStyle w:val="BodyText"/>
        <w:ind w:left="100"/>
      </w:pPr>
      <w:r>
        <w:t>Generally, families who request a transfer should be placed on a transfer list and processed in a consistent and appropriate order. The transfer process must be clearly auditable to ensure that residents do not experience inequitable treatment.</w:t>
      </w:r>
    </w:p>
    <w:p w14:paraId="780ED5B1" w14:textId="77777777" w:rsidR="00E55DDA" w:rsidRDefault="00E55DDA">
      <w:pPr>
        <w:pStyle w:val="BodyText"/>
        <w:rPr>
          <w:sz w:val="26"/>
        </w:rPr>
      </w:pPr>
    </w:p>
    <w:p w14:paraId="6C28D4EB" w14:textId="77777777" w:rsidR="00E55DDA" w:rsidRDefault="00E55DDA">
      <w:pPr>
        <w:pStyle w:val="BodyText"/>
        <w:rPr>
          <w:sz w:val="22"/>
        </w:rPr>
      </w:pPr>
    </w:p>
    <w:p w14:paraId="757D31AE" w14:textId="77777777" w:rsidR="00E55DDA" w:rsidRDefault="00F1618A">
      <w:pPr>
        <w:pStyle w:val="Heading1"/>
      </w:pPr>
      <w:r>
        <w:t>12-IV.B. TRANSFER LIST</w:t>
      </w:r>
    </w:p>
    <w:p w14:paraId="5EE7D938" w14:textId="77777777" w:rsidR="00E55DDA" w:rsidRDefault="00E55DDA">
      <w:pPr>
        <w:pStyle w:val="BodyText"/>
        <w:spacing w:before="1"/>
        <w:rPr>
          <w:b/>
        </w:rPr>
      </w:pPr>
    </w:p>
    <w:p w14:paraId="7F8520AB" w14:textId="77777777" w:rsidR="00E55DDA" w:rsidRDefault="00F1618A">
      <w:pPr>
        <w:ind w:left="799" w:right="7446"/>
        <w:jc w:val="center"/>
        <w:rPr>
          <w:b/>
          <w:sz w:val="24"/>
        </w:rPr>
      </w:pPr>
      <w:r>
        <w:rPr>
          <w:b/>
          <w:sz w:val="24"/>
          <w:u w:val="thick"/>
        </w:rPr>
        <w:t>MHA Policy</w:t>
      </w:r>
    </w:p>
    <w:p w14:paraId="31432C78" w14:textId="77777777" w:rsidR="00E55DDA" w:rsidRDefault="00E55DDA">
      <w:pPr>
        <w:pStyle w:val="BodyText"/>
        <w:spacing w:before="2"/>
        <w:rPr>
          <w:b/>
          <w:sz w:val="16"/>
        </w:rPr>
      </w:pPr>
    </w:p>
    <w:p w14:paraId="790DC43E" w14:textId="77777777" w:rsidR="00E55DDA" w:rsidRDefault="00F1618A">
      <w:pPr>
        <w:pStyle w:val="BodyText"/>
        <w:spacing w:before="90"/>
        <w:ind w:left="820" w:right="203"/>
      </w:pPr>
      <w:r>
        <w:t>The PHA will maintain a centralized transfer list to ensure that transfers are processed in the correct order and that procedures are uniform across all properties.</w:t>
      </w:r>
    </w:p>
    <w:p w14:paraId="202E77C2" w14:textId="77777777" w:rsidR="00E55DDA" w:rsidRDefault="00E55DDA">
      <w:pPr>
        <w:pStyle w:val="BodyText"/>
      </w:pPr>
    </w:p>
    <w:p w14:paraId="31B5236C" w14:textId="77777777" w:rsidR="00E55DDA" w:rsidRDefault="00F1618A">
      <w:pPr>
        <w:pStyle w:val="BodyText"/>
        <w:ind w:left="820" w:right="336"/>
      </w:pPr>
      <w:r>
        <w:t>Emergency transfers will not automatically go on the transfer list. Instead emergency transfers will be handled immediately, on a case by case basis. If the emergency cannot be resolved by a temporary accommodation, and the resident requires a permanent transfer, the family will be placed at the top of the transfer list.</w:t>
      </w:r>
    </w:p>
    <w:p w14:paraId="0D1CA6D3" w14:textId="77777777" w:rsidR="00E55DDA" w:rsidRDefault="00E55DDA">
      <w:pPr>
        <w:pStyle w:val="BodyText"/>
      </w:pPr>
    </w:p>
    <w:p w14:paraId="1F38B629" w14:textId="77777777" w:rsidR="00E55DDA" w:rsidRDefault="00F1618A">
      <w:pPr>
        <w:pStyle w:val="BodyText"/>
        <w:ind w:left="820"/>
      </w:pPr>
      <w:r>
        <w:t>Transfers will be processed in the following order:</w:t>
      </w:r>
    </w:p>
    <w:p w14:paraId="5DB0FDA3" w14:textId="77777777" w:rsidR="00E55DDA" w:rsidRDefault="00E55DDA">
      <w:pPr>
        <w:pStyle w:val="BodyText"/>
      </w:pPr>
    </w:p>
    <w:p w14:paraId="69FF3FA3" w14:textId="77777777" w:rsidR="00E55DDA" w:rsidRDefault="00F1618A">
      <w:pPr>
        <w:pStyle w:val="ListParagraph"/>
        <w:numPr>
          <w:ilvl w:val="0"/>
          <w:numId w:val="1"/>
        </w:numPr>
        <w:tabs>
          <w:tab w:val="left" w:pos="1901"/>
        </w:tabs>
        <w:rPr>
          <w:sz w:val="24"/>
        </w:rPr>
      </w:pPr>
      <w:r>
        <w:rPr>
          <w:sz w:val="24"/>
        </w:rPr>
        <w:t>Emergency transfers (hazardous maintenance</w:t>
      </w:r>
      <w:r>
        <w:rPr>
          <w:spacing w:val="-4"/>
          <w:sz w:val="24"/>
        </w:rPr>
        <w:t xml:space="preserve"> </w:t>
      </w:r>
      <w:r>
        <w:rPr>
          <w:sz w:val="24"/>
        </w:rPr>
        <w:t>conditions)</w:t>
      </w:r>
    </w:p>
    <w:p w14:paraId="00393FDD" w14:textId="77777777" w:rsidR="00E55DDA" w:rsidRDefault="00F1618A">
      <w:pPr>
        <w:pStyle w:val="ListParagraph"/>
        <w:numPr>
          <w:ilvl w:val="0"/>
          <w:numId w:val="1"/>
        </w:numPr>
        <w:tabs>
          <w:tab w:val="left" w:pos="1901"/>
        </w:tabs>
        <w:spacing w:before="1"/>
        <w:ind w:right="223"/>
        <w:rPr>
          <w:sz w:val="24"/>
        </w:rPr>
      </w:pPr>
      <w:r>
        <w:rPr>
          <w:sz w:val="24"/>
        </w:rPr>
        <w:t>High-priority transfers (verified medical condition, threat of harm or</w:t>
      </w:r>
      <w:r>
        <w:rPr>
          <w:spacing w:val="-12"/>
          <w:sz w:val="24"/>
        </w:rPr>
        <w:t xml:space="preserve"> </w:t>
      </w:r>
      <w:r>
        <w:rPr>
          <w:sz w:val="24"/>
        </w:rPr>
        <w:t>criminal activity, and reasonable accommodation)</w:t>
      </w:r>
    </w:p>
    <w:p w14:paraId="2F53A720" w14:textId="77777777" w:rsidR="00E55DDA" w:rsidRDefault="00F1618A">
      <w:pPr>
        <w:pStyle w:val="ListParagraph"/>
        <w:numPr>
          <w:ilvl w:val="0"/>
          <w:numId w:val="1"/>
        </w:numPr>
        <w:tabs>
          <w:tab w:val="left" w:pos="1901"/>
        </w:tabs>
        <w:rPr>
          <w:sz w:val="24"/>
        </w:rPr>
      </w:pPr>
      <w:r>
        <w:rPr>
          <w:sz w:val="24"/>
        </w:rPr>
        <w:t>Transfers to make accessible units</w:t>
      </w:r>
      <w:r>
        <w:rPr>
          <w:spacing w:val="-3"/>
          <w:sz w:val="24"/>
        </w:rPr>
        <w:t xml:space="preserve"> </w:t>
      </w:r>
      <w:r>
        <w:rPr>
          <w:sz w:val="24"/>
        </w:rPr>
        <w:t>available</w:t>
      </w:r>
    </w:p>
    <w:p w14:paraId="373F460D" w14:textId="77777777" w:rsidR="00E55DDA" w:rsidRDefault="00F1618A">
      <w:pPr>
        <w:pStyle w:val="ListParagraph"/>
        <w:numPr>
          <w:ilvl w:val="0"/>
          <w:numId w:val="1"/>
        </w:numPr>
        <w:tabs>
          <w:tab w:val="left" w:pos="1901"/>
        </w:tabs>
        <w:rPr>
          <w:sz w:val="24"/>
        </w:rPr>
      </w:pPr>
      <w:r>
        <w:rPr>
          <w:sz w:val="24"/>
        </w:rPr>
        <w:t>Demolition, renovation,</w:t>
      </w:r>
      <w:r>
        <w:rPr>
          <w:spacing w:val="-1"/>
          <w:sz w:val="24"/>
        </w:rPr>
        <w:t xml:space="preserve"> </w:t>
      </w:r>
      <w:r>
        <w:rPr>
          <w:sz w:val="24"/>
        </w:rPr>
        <w:t>etc.</w:t>
      </w:r>
    </w:p>
    <w:p w14:paraId="116F3745" w14:textId="77777777" w:rsidR="00E55DDA" w:rsidRDefault="00F1618A">
      <w:pPr>
        <w:pStyle w:val="ListParagraph"/>
        <w:numPr>
          <w:ilvl w:val="0"/>
          <w:numId w:val="1"/>
        </w:numPr>
        <w:tabs>
          <w:tab w:val="left" w:pos="1901"/>
        </w:tabs>
        <w:rPr>
          <w:sz w:val="24"/>
        </w:rPr>
      </w:pPr>
      <w:r>
        <w:rPr>
          <w:sz w:val="24"/>
        </w:rPr>
        <w:t>Occupancy</w:t>
      </w:r>
      <w:r>
        <w:rPr>
          <w:spacing w:val="-5"/>
          <w:sz w:val="24"/>
        </w:rPr>
        <w:t xml:space="preserve"> </w:t>
      </w:r>
      <w:r>
        <w:rPr>
          <w:sz w:val="24"/>
        </w:rPr>
        <w:t>standards</w:t>
      </w:r>
    </w:p>
    <w:p w14:paraId="72A7FDAC" w14:textId="77777777" w:rsidR="00E55DDA" w:rsidRDefault="00F1618A">
      <w:pPr>
        <w:pStyle w:val="ListParagraph"/>
        <w:numPr>
          <w:ilvl w:val="0"/>
          <w:numId w:val="1"/>
        </w:numPr>
        <w:tabs>
          <w:tab w:val="left" w:pos="1901"/>
        </w:tabs>
        <w:rPr>
          <w:sz w:val="24"/>
        </w:rPr>
      </w:pPr>
      <w:r>
        <w:rPr>
          <w:sz w:val="24"/>
        </w:rPr>
        <w:t>Other PHA-required</w:t>
      </w:r>
      <w:r>
        <w:rPr>
          <w:spacing w:val="-1"/>
          <w:sz w:val="24"/>
        </w:rPr>
        <w:t xml:space="preserve"> </w:t>
      </w:r>
      <w:r>
        <w:rPr>
          <w:sz w:val="24"/>
        </w:rPr>
        <w:t>transfers</w:t>
      </w:r>
    </w:p>
    <w:p w14:paraId="31BBA4C0" w14:textId="77777777" w:rsidR="00E55DDA" w:rsidRDefault="00F1618A">
      <w:pPr>
        <w:pStyle w:val="ListParagraph"/>
        <w:numPr>
          <w:ilvl w:val="0"/>
          <w:numId w:val="1"/>
        </w:numPr>
        <w:tabs>
          <w:tab w:val="left" w:pos="1901"/>
        </w:tabs>
        <w:rPr>
          <w:sz w:val="24"/>
        </w:rPr>
      </w:pPr>
      <w:r>
        <w:rPr>
          <w:sz w:val="24"/>
        </w:rPr>
        <w:t>Other tenant-requested</w:t>
      </w:r>
      <w:r>
        <w:rPr>
          <w:spacing w:val="-3"/>
          <w:sz w:val="24"/>
        </w:rPr>
        <w:t xml:space="preserve"> </w:t>
      </w:r>
      <w:r>
        <w:rPr>
          <w:sz w:val="24"/>
        </w:rPr>
        <w:t>transfers</w:t>
      </w:r>
    </w:p>
    <w:p w14:paraId="06AC1792" w14:textId="77777777" w:rsidR="00E55DDA" w:rsidRDefault="00E55DDA">
      <w:pPr>
        <w:pStyle w:val="BodyText"/>
      </w:pPr>
    </w:p>
    <w:p w14:paraId="1310E9E6" w14:textId="77777777" w:rsidR="00E55DDA" w:rsidRDefault="00F1618A">
      <w:pPr>
        <w:pStyle w:val="BodyText"/>
        <w:ind w:left="820"/>
      </w:pPr>
      <w:r>
        <w:t>Within each category, transfers will be processed in order of the date a family was placed on the transfer list, starting with the earliest date.</w:t>
      </w:r>
    </w:p>
    <w:p w14:paraId="0AE9D654" w14:textId="77777777" w:rsidR="00E55DDA" w:rsidRDefault="00E55DDA">
      <w:pPr>
        <w:pStyle w:val="BodyText"/>
      </w:pPr>
    </w:p>
    <w:p w14:paraId="47D009B7" w14:textId="77777777" w:rsidR="00E55DDA" w:rsidRDefault="00F1618A">
      <w:pPr>
        <w:pStyle w:val="BodyText"/>
        <w:ind w:left="820" w:right="56"/>
      </w:pPr>
      <w:r>
        <w:t>With the approval of the executive director, the PHA may, on a case-by-case basis, transfer a family without regard to its placement on the transfer list in order to address the immediate need of a family in crisis.</w:t>
      </w:r>
    </w:p>
    <w:p w14:paraId="131189F9" w14:textId="77777777" w:rsidR="00E55DDA" w:rsidRDefault="00E55DDA">
      <w:pPr>
        <w:pStyle w:val="BodyText"/>
        <w:spacing w:before="1"/>
      </w:pPr>
    </w:p>
    <w:p w14:paraId="22E6DCCA" w14:textId="77777777" w:rsidR="00E55DDA" w:rsidRDefault="00F1618A">
      <w:pPr>
        <w:pStyle w:val="BodyText"/>
        <w:ind w:left="820" w:right="162"/>
      </w:pPr>
      <w:r>
        <w:t>Demolition and renovation transfers will gain the highest priority as necessary to allow the PHA to meet the demolition or renovation schedule.</w:t>
      </w:r>
    </w:p>
    <w:p w14:paraId="0DB1083A" w14:textId="77777777" w:rsidR="00E55DDA" w:rsidRDefault="00E55DDA">
      <w:pPr>
        <w:pStyle w:val="BodyText"/>
      </w:pPr>
    </w:p>
    <w:p w14:paraId="5B95608D" w14:textId="77777777" w:rsidR="00E55DDA" w:rsidRDefault="00F1618A">
      <w:pPr>
        <w:pStyle w:val="BodyText"/>
        <w:ind w:left="820"/>
      </w:pPr>
      <w:r>
        <w:t>Transfers will take precedence over waiting list admissions.</w:t>
      </w:r>
    </w:p>
    <w:p w14:paraId="0CA5E601" w14:textId="77777777" w:rsidR="00E55DDA" w:rsidRDefault="00E55DDA">
      <w:pPr>
        <w:sectPr w:rsidR="00E55DDA">
          <w:pgSz w:w="12240" w:h="15840"/>
          <w:pgMar w:top="1500" w:right="1340" w:bottom="920" w:left="1340" w:header="0" w:footer="739" w:gutter="0"/>
          <w:cols w:space="720"/>
        </w:sectPr>
      </w:pPr>
    </w:p>
    <w:p w14:paraId="5375739A" w14:textId="77777777" w:rsidR="00E55DDA" w:rsidRDefault="00E55DDA">
      <w:pPr>
        <w:pStyle w:val="BodyText"/>
        <w:rPr>
          <w:sz w:val="20"/>
        </w:rPr>
      </w:pPr>
    </w:p>
    <w:p w14:paraId="5BE0C079" w14:textId="77777777" w:rsidR="00E55DDA" w:rsidRDefault="00F1618A">
      <w:pPr>
        <w:pStyle w:val="Heading1"/>
      </w:pPr>
      <w:r>
        <w:t>12-IV.C. TRANSFER OFFER POLICY</w:t>
      </w:r>
    </w:p>
    <w:p w14:paraId="5844C084" w14:textId="77777777" w:rsidR="00E55DDA" w:rsidRDefault="00E55DDA">
      <w:pPr>
        <w:pStyle w:val="BodyText"/>
        <w:rPr>
          <w:b/>
        </w:rPr>
      </w:pPr>
    </w:p>
    <w:p w14:paraId="609A6AA2" w14:textId="77777777" w:rsidR="00E55DDA" w:rsidRDefault="00F1618A">
      <w:pPr>
        <w:ind w:left="820"/>
        <w:rPr>
          <w:b/>
          <w:sz w:val="24"/>
        </w:rPr>
      </w:pPr>
      <w:r>
        <w:rPr>
          <w:b/>
          <w:sz w:val="24"/>
          <w:u w:val="thick"/>
        </w:rPr>
        <w:t>MHA Policy</w:t>
      </w:r>
    </w:p>
    <w:p w14:paraId="1EF9AB29" w14:textId="77777777" w:rsidR="00E55DDA" w:rsidRDefault="00E55DDA">
      <w:pPr>
        <w:pStyle w:val="BodyText"/>
        <w:spacing w:before="2"/>
        <w:rPr>
          <w:b/>
          <w:sz w:val="16"/>
        </w:rPr>
      </w:pPr>
    </w:p>
    <w:p w14:paraId="6B28035B" w14:textId="77777777" w:rsidR="00E55DDA" w:rsidRDefault="00F1618A">
      <w:pPr>
        <w:pStyle w:val="BodyText"/>
        <w:spacing w:before="90"/>
        <w:ind w:left="820"/>
      </w:pPr>
      <w:r>
        <w:t>Residents will receive one offer to a transfer.</w:t>
      </w:r>
    </w:p>
    <w:p w14:paraId="7915B47D" w14:textId="77777777" w:rsidR="00E55DDA" w:rsidRDefault="00E55DDA">
      <w:pPr>
        <w:pStyle w:val="BodyText"/>
      </w:pPr>
    </w:p>
    <w:p w14:paraId="50BA181E" w14:textId="77777777" w:rsidR="00E55DDA" w:rsidRDefault="00F1618A">
      <w:pPr>
        <w:pStyle w:val="BodyText"/>
        <w:ind w:left="820" w:right="469"/>
      </w:pPr>
      <w:r>
        <w:t>When the transfer is required by the PHA, the refusal of that offer without good cause will result in lease termination.</w:t>
      </w:r>
    </w:p>
    <w:p w14:paraId="0E3C28B8" w14:textId="77777777" w:rsidR="00E55DDA" w:rsidRDefault="00E55DDA">
      <w:pPr>
        <w:pStyle w:val="BodyText"/>
      </w:pPr>
    </w:p>
    <w:p w14:paraId="34F2CAF3" w14:textId="77777777" w:rsidR="00E55DDA" w:rsidRDefault="00F1618A">
      <w:pPr>
        <w:pStyle w:val="BodyText"/>
        <w:ind w:left="820" w:right="162"/>
      </w:pPr>
      <w:r>
        <w:t>When the transfer has been requested by the resident, the refusal of that offer without good cause will result in the removal of the family from the transfer list. In such cases, the family must wait twelve months to reapply for another transfer.</w:t>
      </w:r>
    </w:p>
    <w:p w14:paraId="61609747" w14:textId="77777777" w:rsidR="00E55DDA" w:rsidRDefault="00E55DDA">
      <w:pPr>
        <w:pStyle w:val="BodyText"/>
        <w:spacing w:before="1"/>
      </w:pPr>
    </w:p>
    <w:p w14:paraId="5198782D" w14:textId="77777777" w:rsidR="00E55DDA" w:rsidRDefault="00F1618A">
      <w:pPr>
        <w:pStyle w:val="Heading1"/>
      </w:pPr>
      <w:r>
        <w:t>12-IV.D. GOOD CAUSE FOR UNIT REFUSAL</w:t>
      </w:r>
    </w:p>
    <w:p w14:paraId="61473A13" w14:textId="77777777" w:rsidR="00E55DDA" w:rsidRDefault="00E55DDA">
      <w:pPr>
        <w:pStyle w:val="BodyText"/>
        <w:rPr>
          <w:b/>
        </w:rPr>
      </w:pPr>
    </w:p>
    <w:p w14:paraId="048BE20B" w14:textId="77777777" w:rsidR="00E55DDA" w:rsidRDefault="00F1618A">
      <w:pPr>
        <w:ind w:left="820"/>
        <w:rPr>
          <w:b/>
          <w:sz w:val="24"/>
        </w:rPr>
      </w:pPr>
      <w:r>
        <w:rPr>
          <w:b/>
          <w:sz w:val="24"/>
          <w:u w:val="thick"/>
        </w:rPr>
        <w:t>MHA Policy</w:t>
      </w:r>
    </w:p>
    <w:p w14:paraId="056B6C22" w14:textId="77777777" w:rsidR="00E55DDA" w:rsidRDefault="00E55DDA">
      <w:pPr>
        <w:pStyle w:val="BodyText"/>
        <w:spacing w:before="2"/>
        <w:rPr>
          <w:b/>
          <w:sz w:val="16"/>
        </w:rPr>
      </w:pPr>
    </w:p>
    <w:p w14:paraId="0520074F" w14:textId="77777777" w:rsidR="00E55DDA" w:rsidRDefault="00F1618A">
      <w:pPr>
        <w:pStyle w:val="BodyText"/>
        <w:spacing w:before="90"/>
        <w:ind w:left="820" w:right="629"/>
      </w:pPr>
      <w:r>
        <w:t>Examples of good cause for refusal of a unit offer include, but are not limited to, the following:</w:t>
      </w:r>
    </w:p>
    <w:p w14:paraId="38C50298" w14:textId="77777777" w:rsidR="00E55DDA" w:rsidRDefault="00E55DDA">
      <w:pPr>
        <w:pStyle w:val="BodyText"/>
      </w:pPr>
    </w:p>
    <w:p w14:paraId="79015117" w14:textId="02A6936E" w:rsidR="00E55DDA" w:rsidRDefault="00F1618A">
      <w:pPr>
        <w:pStyle w:val="BodyText"/>
        <w:ind w:left="1540" w:right="282"/>
      </w:pPr>
      <w:r>
        <w:t>The family demonstrates to the PHA’s satisfaction that accepting the offer will Place a family member’s life, health, or safety in jeopardy. The family should offer specific and compelling documentation such as restraining orders, other enforcement agency, or documentation of domestic violence, dating violence,</w:t>
      </w:r>
      <w:r w:rsidR="00EA4EE6">
        <w:t xml:space="preserve"> sexual assault</w:t>
      </w:r>
      <w:bookmarkStart w:id="5" w:name="_GoBack"/>
      <w:bookmarkEnd w:id="5"/>
      <w:r>
        <w:t xml:space="preserve"> or stalking in accordance with section 16- VII.D of this ACOP. Reasons offered must be specific to the family. Refusals due to location alone do not qualify for this good cause exemption.</w:t>
      </w:r>
    </w:p>
    <w:p w14:paraId="4290D152" w14:textId="77777777" w:rsidR="00E55DDA" w:rsidRDefault="00E55DDA">
      <w:pPr>
        <w:pStyle w:val="BodyText"/>
        <w:spacing w:before="1"/>
      </w:pPr>
    </w:p>
    <w:p w14:paraId="48BB1B45" w14:textId="77777777" w:rsidR="00E55DDA" w:rsidRDefault="00F1618A">
      <w:pPr>
        <w:pStyle w:val="BodyText"/>
        <w:ind w:left="1540" w:right="289"/>
      </w:pPr>
      <w:r>
        <w:t>A health professional verifies temporary hospitalization or recovery from illness of the principal household member, other household member (as listed on final application).</w:t>
      </w:r>
    </w:p>
    <w:p w14:paraId="4D11EFCC" w14:textId="77777777" w:rsidR="00E55DDA" w:rsidRDefault="00E55DDA">
      <w:pPr>
        <w:pStyle w:val="BodyText"/>
      </w:pPr>
    </w:p>
    <w:p w14:paraId="442934C2" w14:textId="77777777" w:rsidR="00E55DDA" w:rsidRDefault="00F1618A">
      <w:pPr>
        <w:pStyle w:val="BodyText"/>
        <w:ind w:left="1540" w:right="256"/>
      </w:pPr>
      <w:r>
        <w:t>The unit is inappropriate for the applicant’s disabilities, or the family does not need the accessible features in the unit offered and does not want to be subjected to a 30-day notice to move.</w:t>
      </w:r>
    </w:p>
    <w:p w14:paraId="7BD9D389" w14:textId="77777777" w:rsidR="00E55DDA" w:rsidRDefault="00E55DDA">
      <w:pPr>
        <w:pStyle w:val="BodyText"/>
        <w:spacing w:before="1"/>
      </w:pPr>
    </w:p>
    <w:p w14:paraId="6E951F89" w14:textId="77777777" w:rsidR="00E55DDA" w:rsidRDefault="00F1618A">
      <w:pPr>
        <w:pStyle w:val="BodyText"/>
        <w:ind w:left="100"/>
      </w:pPr>
      <w:r>
        <w:t>The PHA will require documentation of good cause for unit refusals.</w:t>
      </w:r>
    </w:p>
    <w:sectPr w:rsidR="00E55DDA">
      <w:pgSz w:w="12240" w:h="15840"/>
      <w:pgMar w:top="1500" w:right="1340" w:bottom="920" w:left="134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21B0A" w14:textId="77777777" w:rsidR="00EB3E43" w:rsidRDefault="00EB3E43">
      <w:r>
        <w:separator/>
      </w:r>
    </w:p>
  </w:endnote>
  <w:endnote w:type="continuationSeparator" w:id="0">
    <w:p w14:paraId="43342FFD" w14:textId="77777777" w:rsidR="00EB3E43" w:rsidRDefault="00E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250A" w14:textId="77777777" w:rsidR="00E55DDA" w:rsidRDefault="00EA4EE6">
    <w:pPr>
      <w:pStyle w:val="BodyText"/>
      <w:spacing w:line="14" w:lineRule="auto"/>
      <w:rPr>
        <w:sz w:val="20"/>
      </w:rPr>
    </w:pPr>
    <w:r>
      <w:pict w14:anchorId="36BE3124">
        <v:shapetype id="_x0000_t202" coordsize="21600,21600" o:spt="202" path="m,l,21600r21600,l21600,xe">
          <v:stroke joinstyle="miter"/>
          <v:path gradientshapeok="t" o:connecttype="rect"/>
        </v:shapetype>
        <v:shape id="_x0000_s2051" type="#_x0000_t202" style="position:absolute;margin-left:71pt;margin-top:744.05pt;width:110.95pt;height:13.05pt;z-index:-8464;mso-position-horizontal-relative:page;mso-position-vertical-relative:page" filled="f" stroked="f">
          <v:textbox inset="0,0,0,0">
            <w:txbxContent>
              <w:p w14:paraId="4AACD029" w14:textId="4D4F3638" w:rsidR="00E55DDA" w:rsidRDefault="00F1618A">
                <w:pPr>
                  <w:spacing w:before="10"/>
                  <w:ind w:left="20"/>
                  <w:rPr>
                    <w:sz w:val="20"/>
                  </w:rPr>
                </w:pPr>
                <w:r>
                  <w:rPr>
                    <w:sz w:val="20"/>
                  </w:rPr>
                  <w:t xml:space="preserve">MHA ACOP Rev. </w:t>
                </w:r>
                <w:r w:rsidR="002A4FDD">
                  <w:rPr>
                    <w:sz w:val="20"/>
                  </w:rPr>
                  <w:t>10</w:t>
                </w:r>
                <w:r w:rsidR="00B041BB">
                  <w:rPr>
                    <w:sz w:val="20"/>
                  </w:rPr>
                  <w:t>/201</w:t>
                </w:r>
                <w:r w:rsidR="002A4FDD">
                  <w:rPr>
                    <w:sz w:val="20"/>
                  </w:rPr>
                  <w:t>9</w:t>
                </w:r>
              </w:p>
            </w:txbxContent>
          </v:textbox>
          <w10:wrap anchorx="page" anchory="page"/>
        </v:shape>
      </w:pict>
    </w:r>
    <w:r>
      <w:pict w14:anchorId="396FFDAE">
        <v:shape id="_x0000_s2050" type="#_x0000_t202" style="position:absolute;margin-left:277.45pt;margin-top:744.05pt;width:57.45pt;height:13.05pt;z-index:-8440;mso-position-horizontal-relative:page;mso-position-vertical-relative:page" filled="f" stroked="f">
          <v:textbox inset="0,0,0,0">
            <w:txbxContent>
              <w:p w14:paraId="2919BE72" w14:textId="77777777" w:rsidR="00E55DDA" w:rsidRDefault="00F1618A">
                <w:pPr>
                  <w:spacing w:before="10"/>
                  <w:ind w:left="20"/>
                  <w:rPr>
                    <w:b/>
                    <w:sz w:val="20"/>
                  </w:rPr>
                </w:pPr>
                <w:r w:rsidRPr="00F1618A">
                  <w:rPr>
                    <w:b/>
                    <w:sz w:val="20"/>
                  </w:rPr>
                  <w:t xml:space="preserve">Page </w:t>
                </w:r>
                <w:r w:rsidRPr="00F1618A">
                  <w:rPr>
                    <w:b/>
                    <w:bCs/>
                    <w:sz w:val="20"/>
                  </w:rPr>
                  <w:fldChar w:fldCharType="begin"/>
                </w:r>
                <w:r w:rsidRPr="00F1618A">
                  <w:rPr>
                    <w:b/>
                    <w:bCs/>
                    <w:sz w:val="20"/>
                  </w:rPr>
                  <w:instrText xml:space="preserve"> PAGE  \* Arabic  \* MERGEFORMAT </w:instrText>
                </w:r>
                <w:r w:rsidRPr="00F1618A">
                  <w:rPr>
                    <w:b/>
                    <w:bCs/>
                    <w:sz w:val="20"/>
                  </w:rPr>
                  <w:fldChar w:fldCharType="separate"/>
                </w:r>
                <w:r w:rsidRPr="00F1618A">
                  <w:rPr>
                    <w:b/>
                    <w:bCs/>
                    <w:noProof/>
                    <w:sz w:val="20"/>
                  </w:rPr>
                  <w:t>1</w:t>
                </w:r>
                <w:r w:rsidRPr="00F1618A">
                  <w:rPr>
                    <w:b/>
                    <w:bCs/>
                    <w:sz w:val="20"/>
                  </w:rPr>
                  <w:fldChar w:fldCharType="end"/>
                </w:r>
                <w:r w:rsidRPr="00F1618A">
                  <w:rPr>
                    <w:b/>
                    <w:sz w:val="20"/>
                  </w:rPr>
                  <w:t xml:space="preserve"> of </w:t>
                </w:r>
                <w:r w:rsidRPr="00F1618A">
                  <w:rPr>
                    <w:b/>
                    <w:bCs/>
                    <w:sz w:val="20"/>
                  </w:rPr>
                  <w:fldChar w:fldCharType="begin"/>
                </w:r>
                <w:r w:rsidRPr="00F1618A">
                  <w:rPr>
                    <w:b/>
                    <w:bCs/>
                    <w:sz w:val="20"/>
                  </w:rPr>
                  <w:instrText xml:space="preserve"> NUMPAGES  \* Arabic  \* MERGEFORMAT </w:instrText>
                </w:r>
                <w:r w:rsidRPr="00F1618A">
                  <w:rPr>
                    <w:b/>
                    <w:bCs/>
                    <w:sz w:val="20"/>
                  </w:rPr>
                  <w:fldChar w:fldCharType="separate"/>
                </w:r>
                <w:r w:rsidRPr="00F1618A">
                  <w:rPr>
                    <w:b/>
                    <w:bCs/>
                    <w:noProof/>
                    <w:sz w:val="20"/>
                  </w:rPr>
                  <w:t>2</w:t>
                </w:r>
                <w:r w:rsidRPr="00F1618A">
                  <w:rPr>
                    <w:b/>
                    <w:bCs/>
                    <w:sz w:val="20"/>
                  </w:rPr>
                  <w:fldChar w:fldCharType="end"/>
                </w:r>
              </w:p>
            </w:txbxContent>
          </v:textbox>
          <w10:wrap anchorx="page" anchory="page"/>
        </v:shape>
      </w:pict>
    </w:r>
    <w:r>
      <w:pict w14:anchorId="1863E09E">
        <v:shape id="_x0000_s2049" type="#_x0000_t202" style="position:absolute;margin-left:494.95pt;margin-top:744.05pt;width:46.1pt;height:13.05pt;z-index:-8416;mso-position-horizontal-relative:page;mso-position-vertical-relative:page" filled="f" stroked="f">
          <v:textbox inset="0,0,0,0">
            <w:txbxContent>
              <w:p w14:paraId="6D2384D8" w14:textId="77777777" w:rsidR="00E55DDA" w:rsidRDefault="00F1618A">
                <w:pPr>
                  <w:spacing w:before="10"/>
                  <w:ind w:left="20"/>
                  <w:rPr>
                    <w:sz w:val="20"/>
                  </w:rPr>
                </w:pPr>
                <w:r>
                  <w:rPr>
                    <w:sz w:val="20"/>
                  </w:rPr>
                  <w:t>Chapter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EBC2" w14:textId="77777777" w:rsidR="00EB3E43" w:rsidRDefault="00EB3E43">
      <w:r>
        <w:separator/>
      </w:r>
    </w:p>
  </w:footnote>
  <w:footnote w:type="continuationSeparator" w:id="0">
    <w:p w14:paraId="5C314C01" w14:textId="77777777" w:rsidR="00EB3E43" w:rsidRDefault="00EB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4209"/>
    <w:multiLevelType w:val="hybridMultilevel"/>
    <w:tmpl w:val="13E20E5E"/>
    <w:lvl w:ilvl="0" w:tplc="958EFC0E">
      <w:start w:val="1"/>
      <w:numFmt w:val="decimal"/>
      <w:lvlText w:val="%1."/>
      <w:lvlJc w:val="left"/>
      <w:pPr>
        <w:ind w:left="1900" w:hanging="360"/>
        <w:jc w:val="left"/>
      </w:pPr>
      <w:rPr>
        <w:rFonts w:ascii="Times New Roman" w:eastAsia="Times New Roman" w:hAnsi="Times New Roman" w:cs="Times New Roman" w:hint="default"/>
        <w:spacing w:val="-5"/>
        <w:w w:val="99"/>
        <w:sz w:val="24"/>
        <w:szCs w:val="24"/>
        <w:lang w:val="en-US" w:eastAsia="en-US" w:bidi="en-US"/>
      </w:rPr>
    </w:lvl>
    <w:lvl w:ilvl="1" w:tplc="59DCBDF4">
      <w:numFmt w:val="bullet"/>
      <w:lvlText w:val="•"/>
      <w:lvlJc w:val="left"/>
      <w:pPr>
        <w:ind w:left="2666" w:hanging="360"/>
      </w:pPr>
      <w:rPr>
        <w:rFonts w:hint="default"/>
        <w:lang w:val="en-US" w:eastAsia="en-US" w:bidi="en-US"/>
      </w:rPr>
    </w:lvl>
    <w:lvl w:ilvl="2" w:tplc="E2C2EFF2">
      <w:numFmt w:val="bullet"/>
      <w:lvlText w:val="•"/>
      <w:lvlJc w:val="left"/>
      <w:pPr>
        <w:ind w:left="3432" w:hanging="360"/>
      </w:pPr>
      <w:rPr>
        <w:rFonts w:hint="default"/>
        <w:lang w:val="en-US" w:eastAsia="en-US" w:bidi="en-US"/>
      </w:rPr>
    </w:lvl>
    <w:lvl w:ilvl="3" w:tplc="96408B0E">
      <w:numFmt w:val="bullet"/>
      <w:lvlText w:val="•"/>
      <w:lvlJc w:val="left"/>
      <w:pPr>
        <w:ind w:left="4198" w:hanging="360"/>
      </w:pPr>
      <w:rPr>
        <w:rFonts w:hint="default"/>
        <w:lang w:val="en-US" w:eastAsia="en-US" w:bidi="en-US"/>
      </w:rPr>
    </w:lvl>
    <w:lvl w:ilvl="4" w:tplc="17104060">
      <w:numFmt w:val="bullet"/>
      <w:lvlText w:val="•"/>
      <w:lvlJc w:val="left"/>
      <w:pPr>
        <w:ind w:left="4964" w:hanging="360"/>
      </w:pPr>
      <w:rPr>
        <w:rFonts w:hint="default"/>
        <w:lang w:val="en-US" w:eastAsia="en-US" w:bidi="en-US"/>
      </w:rPr>
    </w:lvl>
    <w:lvl w:ilvl="5" w:tplc="38F2F23A">
      <w:numFmt w:val="bullet"/>
      <w:lvlText w:val="•"/>
      <w:lvlJc w:val="left"/>
      <w:pPr>
        <w:ind w:left="5730" w:hanging="360"/>
      </w:pPr>
      <w:rPr>
        <w:rFonts w:hint="default"/>
        <w:lang w:val="en-US" w:eastAsia="en-US" w:bidi="en-US"/>
      </w:rPr>
    </w:lvl>
    <w:lvl w:ilvl="6" w:tplc="61E89D46">
      <w:numFmt w:val="bullet"/>
      <w:lvlText w:val="•"/>
      <w:lvlJc w:val="left"/>
      <w:pPr>
        <w:ind w:left="6496" w:hanging="360"/>
      </w:pPr>
      <w:rPr>
        <w:rFonts w:hint="default"/>
        <w:lang w:val="en-US" w:eastAsia="en-US" w:bidi="en-US"/>
      </w:rPr>
    </w:lvl>
    <w:lvl w:ilvl="7" w:tplc="286E73F4">
      <w:numFmt w:val="bullet"/>
      <w:lvlText w:val="•"/>
      <w:lvlJc w:val="left"/>
      <w:pPr>
        <w:ind w:left="7262" w:hanging="360"/>
      </w:pPr>
      <w:rPr>
        <w:rFonts w:hint="default"/>
        <w:lang w:val="en-US" w:eastAsia="en-US" w:bidi="en-US"/>
      </w:rPr>
    </w:lvl>
    <w:lvl w:ilvl="8" w:tplc="EAE29430">
      <w:numFmt w:val="bullet"/>
      <w:lvlText w:val="•"/>
      <w:lvlJc w:val="left"/>
      <w:pPr>
        <w:ind w:left="80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55DDA"/>
    <w:rsid w:val="00055E95"/>
    <w:rsid w:val="00232E84"/>
    <w:rsid w:val="002A4FDD"/>
    <w:rsid w:val="00364027"/>
    <w:rsid w:val="004B0A35"/>
    <w:rsid w:val="00683D2C"/>
    <w:rsid w:val="00794FFA"/>
    <w:rsid w:val="00B041BB"/>
    <w:rsid w:val="00D82EF2"/>
    <w:rsid w:val="00E55DDA"/>
    <w:rsid w:val="00EA4EE6"/>
    <w:rsid w:val="00EB3E43"/>
    <w:rsid w:val="00F1618A"/>
    <w:rsid w:val="00F1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E103D7"/>
  <w15:docId w15:val="{BD4F73FA-3085-4A5F-9179-AE63CE35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41BB"/>
    <w:pPr>
      <w:tabs>
        <w:tab w:val="center" w:pos="4680"/>
        <w:tab w:val="right" w:pos="9360"/>
      </w:tabs>
    </w:pPr>
  </w:style>
  <w:style w:type="character" w:customStyle="1" w:styleId="HeaderChar">
    <w:name w:val="Header Char"/>
    <w:basedOn w:val="DefaultParagraphFont"/>
    <w:link w:val="Header"/>
    <w:uiPriority w:val="99"/>
    <w:rsid w:val="00B041BB"/>
    <w:rPr>
      <w:rFonts w:ascii="Times New Roman" w:eastAsia="Times New Roman" w:hAnsi="Times New Roman" w:cs="Times New Roman"/>
      <w:lang w:bidi="en-US"/>
    </w:rPr>
  </w:style>
  <w:style w:type="paragraph" w:styleId="Footer">
    <w:name w:val="footer"/>
    <w:basedOn w:val="Normal"/>
    <w:link w:val="FooterChar"/>
    <w:uiPriority w:val="99"/>
    <w:unhideWhenUsed/>
    <w:rsid w:val="00B041BB"/>
    <w:pPr>
      <w:tabs>
        <w:tab w:val="center" w:pos="4680"/>
        <w:tab w:val="right" w:pos="9360"/>
      </w:tabs>
    </w:pPr>
  </w:style>
  <w:style w:type="character" w:customStyle="1" w:styleId="FooterChar">
    <w:name w:val="Footer Char"/>
    <w:basedOn w:val="DefaultParagraphFont"/>
    <w:link w:val="Footer"/>
    <w:uiPriority w:val="99"/>
    <w:rsid w:val="00B041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Wilnelia Miranda</dc:creator>
  <cp:lastModifiedBy>Betsy Loyle</cp:lastModifiedBy>
  <cp:revision>5</cp:revision>
  <dcterms:created xsi:type="dcterms:W3CDTF">2019-08-15T18:47:00Z</dcterms:created>
  <dcterms:modified xsi:type="dcterms:W3CDTF">2020-02-19T19:57:00Z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2016</vt:lpwstr>
  </property>
  <property fmtid="{D5CDD505-2E9C-101B-9397-08002B2CF9AE}" pid="4" name="LastSaved">
    <vt:filetime>2018-06-07T00:00:00Z</vt:filetime>
  </property>
</Properties>
</file>